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4AF32" w14:textId="58ECEC3D" w:rsidR="005075F5" w:rsidRDefault="005075F5" w:rsidP="000275FD">
      <w:pPr>
        <w:spacing w:before="100" w:beforeAutospacing="1" w:after="100" w:afterAutospacing="1" w:line="240" w:lineRule="auto"/>
        <w:jc w:val="both"/>
        <w:outlineLvl w:val="2"/>
        <w:rPr>
          <w:rFonts w:asciiTheme="minorBidi" w:eastAsia="Times New Roman" w:hAnsiTheme="minorBidi"/>
          <w:b/>
          <w:bCs/>
          <w:kern w:val="0"/>
          <w:sz w:val="28"/>
          <w:szCs w:val="28"/>
          <w14:ligatures w14:val="none"/>
        </w:rPr>
      </w:pPr>
      <w:r>
        <w:rPr>
          <w:noProof/>
        </w:rPr>
        <w:drawing>
          <wp:inline distT="0" distB="0" distL="0" distR="0" wp14:anchorId="142FD846" wp14:editId="34A324E3">
            <wp:extent cx="4968240" cy="4968240"/>
            <wp:effectExtent l="0" t="0" r="3810" b="3810"/>
            <wp:docPr id="2134611510" name="Picture 1" descr="A map of europe with coins and barr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11510" name="Picture 1" descr="A map of europe with coins and barrel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8240" cy="4968240"/>
                    </a:xfrm>
                    <a:prstGeom prst="rect">
                      <a:avLst/>
                    </a:prstGeom>
                    <a:noFill/>
                  </pic:spPr>
                </pic:pic>
              </a:graphicData>
            </a:graphic>
          </wp:inline>
        </w:drawing>
      </w:r>
    </w:p>
    <w:p w14:paraId="3F997CC7" w14:textId="34003B03" w:rsidR="000334CF" w:rsidRPr="00C322F1" w:rsidRDefault="000334CF" w:rsidP="000275FD">
      <w:pPr>
        <w:spacing w:before="100" w:beforeAutospacing="1" w:after="100" w:afterAutospacing="1" w:line="240" w:lineRule="auto"/>
        <w:jc w:val="both"/>
        <w:outlineLvl w:val="2"/>
        <w:rPr>
          <w:rFonts w:asciiTheme="minorBidi" w:eastAsia="Times New Roman" w:hAnsiTheme="minorBidi"/>
          <w:b/>
          <w:bCs/>
          <w:kern w:val="0"/>
          <w:sz w:val="28"/>
          <w:szCs w:val="28"/>
          <w14:ligatures w14:val="none"/>
        </w:rPr>
      </w:pPr>
      <w:r w:rsidRPr="00C322F1">
        <w:rPr>
          <w:rFonts w:asciiTheme="minorBidi" w:eastAsia="Times New Roman" w:hAnsiTheme="minorBidi"/>
          <w:b/>
          <w:bCs/>
          <w:kern w:val="0"/>
          <w:sz w:val="28"/>
          <w:szCs w:val="28"/>
          <w14:ligatures w14:val="none"/>
        </w:rPr>
        <w:t>MiCA</w:t>
      </w:r>
      <w:r w:rsidR="00C322F1" w:rsidRPr="00C322F1">
        <w:rPr>
          <w:rFonts w:asciiTheme="minorBidi" w:eastAsia="Times New Roman" w:hAnsiTheme="minorBidi"/>
          <w:b/>
          <w:bCs/>
          <w:kern w:val="0"/>
          <w:sz w:val="28"/>
          <w:szCs w:val="28"/>
          <w14:ligatures w14:val="none"/>
        </w:rPr>
        <w:t>R</w:t>
      </w:r>
      <w:r w:rsidRPr="00C322F1">
        <w:rPr>
          <w:rFonts w:asciiTheme="minorBidi" w:eastAsia="Times New Roman" w:hAnsiTheme="minorBidi"/>
          <w:b/>
          <w:bCs/>
          <w:kern w:val="0"/>
          <w:sz w:val="28"/>
          <w:szCs w:val="28"/>
          <w14:ligatures w14:val="none"/>
        </w:rPr>
        <w:t xml:space="preserve">: </w:t>
      </w:r>
      <w:r w:rsidR="000275FD">
        <w:rPr>
          <w:rFonts w:asciiTheme="minorBidi" w:eastAsia="Times New Roman" w:hAnsiTheme="minorBidi"/>
          <w:b/>
          <w:bCs/>
          <w:kern w:val="0"/>
          <w:sz w:val="28"/>
          <w:szCs w:val="28"/>
          <w14:ligatures w14:val="none"/>
        </w:rPr>
        <w:t xml:space="preserve">Safeguarding Digital Assets – An overview of what Trusts and Estate Practitioners need to know about the EU’s Crypto Asset Regulation </w:t>
      </w:r>
    </w:p>
    <w:p w14:paraId="7E54A732" w14:textId="77777777" w:rsidR="000334CF" w:rsidRPr="00C322F1" w:rsidRDefault="000334CF" w:rsidP="00C322F1">
      <w:pPr>
        <w:spacing w:before="100" w:beforeAutospacing="1" w:after="100" w:afterAutospacing="1" w:line="240" w:lineRule="auto"/>
        <w:jc w:val="both"/>
        <w:outlineLvl w:val="3"/>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Introduction</w:t>
      </w:r>
    </w:p>
    <w:p w14:paraId="109F1F41" w14:textId="7E7CFC35" w:rsidR="000334CF" w:rsidRPr="00C322F1" w:rsidRDefault="000334CF" w:rsidP="00652D20">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The Markets in Crypto-assets regulation</w:t>
      </w:r>
      <w:r w:rsidR="00250210" w:rsidRPr="00C322F1">
        <w:rPr>
          <w:rFonts w:asciiTheme="minorBidi" w:eastAsia="Times New Roman" w:hAnsiTheme="minorBidi"/>
          <w:kern w:val="0"/>
          <w14:ligatures w14:val="none"/>
        </w:rPr>
        <w:t xml:space="preserve"> (MiCAR)</w:t>
      </w:r>
      <w:r w:rsidRPr="00C322F1">
        <w:rPr>
          <w:rFonts w:asciiTheme="minorBidi" w:eastAsia="Times New Roman" w:hAnsiTheme="minorBidi"/>
          <w:kern w:val="0"/>
          <w14:ligatures w14:val="none"/>
        </w:rPr>
        <w:t xml:space="preserve"> is set to become a cornerstone of the EU's regulatory framework for digital assets. By introducing a harmonized set of rules, 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aims to provide clarity and consistency across member states, replacing the fragmented regulatory landscape, where individual member States had their own set of rules. </w:t>
      </w:r>
    </w:p>
    <w:p w14:paraId="437EBE48" w14:textId="175A42E9" w:rsidR="000334CF" w:rsidRPr="00C322F1" w:rsidRDefault="000334CF" w:rsidP="00C322F1">
      <w:pPr>
        <w:spacing w:before="100" w:beforeAutospacing="1" w:after="100" w:afterAutospacing="1" w:line="240" w:lineRule="auto"/>
        <w:jc w:val="both"/>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Scope of MiCA</w:t>
      </w:r>
      <w:r w:rsidR="00250210" w:rsidRPr="00C322F1">
        <w:rPr>
          <w:rFonts w:asciiTheme="minorBidi" w:eastAsia="Times New Roman" w:hAnsiTheme="minorBidi"/>
          <w:b/>
          <w:bCs/>
          <w:kern w:val="0"/>
          <w14:ligatures w14:val="none"/>
        </w:rPr>
        <w:t>R</w:t>
      </w:r>
    </w:p>
    <w:p w14:paraId="70569670" w14:textId="03786D6F"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Who does MiCA</w:t>
      </w:r>
      <w:r w:rsidR="00250210" w:rsidRPr="00C322F1">
        <w:rPr>
          <w:rFonts w:asciiTheme="minorBidi" w:eastAsia="Times New Roman" w:hAnsiTheme="minorBidi"/>
          <w:kern w:val="0"/>
          <w14:ligatures w14:val="none"/>
        </w:rPr>
        <w:t xml:space="preserve">R </w:t>
      </w:r>
      <w:r w:rsidRPr="00C322F1">
        <w:rPr>
          <w:rFonts w:asciiTheme="minorBidi" w:eastAsia="Times New Roman" w:hAnsiTheme="minorBidi"/>
          <w:kern w:val="0"/>
          <w14:ligatures w14:val="none"/>
        </w:rPr>
        <w:t>apply to?</w:t>
      </w:r>
    </w:p>
    <w:p w14:paraId="44D62F10" w14:textId="1AB4DFB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lastRenderedPageBreak/>
        <w:t>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applies basically to two categories of persons: on </w:t>
      </w:r>
      <w:r w:rsidR="00250210" w:rsidRPr="00C322F1">
        <w:rPr>
          <w:rFonts w:asciiTheme="minorBidi" w:eastAsia="Times New Roman" w:hAnsiTheme="minorBidi"/>
          <w:kern w:val="0"/>
          <w14:ligatures w14:val="none"/>
        </w:rPr>
        <w:t xml:space="preserve">the </w:t>
      </w:r>
      <w:r w:rsidRPr="00C322F1">
        <w:rPr>
          <w:rFonts w:asciiTheme="minorBidi" w:eastAsia="Times New Roman" w:hAnsiTheme="minorBidi"/>
          <w:kern w:val="0"/>
          <w14:ligatures w14:val="none"/>
        </w:rPr>
        <w:t xml:space="preserve">one hand to persons that are engaged in the issuance of a crypto asset, offer the asset to the public or seek the admission of such crypto asset to a trading platform and on the other hand to crypto assets service providers (CASPs) who provide one or more crypto asset services to third parties on a professional basis </w:t>
      </w:r>
    </w:p>
    <w:p w14:paraId="67D853B3" w14:textId="62F4268C"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What types of </w:t>
      </w:r>
      <w:r w:rsidR="00250210" w:rsidRPr="00C322F1">
        <w:rPr>
          <w:rFonts w:asciiTheme="minorBidi" w:eastAsia="Times New Roman" w:hAnsiTheme="minorBidi"/>
          <w:kern w:val="0"/>
          <w14:ligatures w14:val="none"/>
        </w:rPr>
        <w:t>crypto assets</w:t>
      </w:r>
      <w:r w:rsidRPr="00C322F1">
        <w:rPr>
          <w:rFonts w:asciiTheme="minorBidi" w:eastAsia="Times New Roman" w:hAnsiTheme="minorBidi"/>
          <w:kern w:val="0"/>
          <w14:ligatures w14:val="none"/>
        </w:rPr>
        <w:t xml:space="preserve"> are in </w:t>
      </w:r>
      <w:r w:rsidR="00250210" w:rsidRPr="00C322F1">
        <w:rPr>
          <w:rFonts w:asciiTheme="minorBidi" w:eastAsia="Times New Roman" w:hAnsiTheme="minorBidi"/>
          <w:kern w:val="0"/>
          <w14:ligatures w14:val="none"/>
        </w:rPr>
        <w:t xml:space="preserve">the </w:t>
      </w:r>
      <w:r w:rsidRPr="00C322F1">
        <w:rPr>
          <w:rFonts w:asciiTheme="minorBidi" w:eastAsia="Times New Roman" w:hAnsiTheme="minorBidi"/>
          <w:kern w:val="0"/>
          <w14:ligatures w14:val="none"/>
        </w:rPr>
        <w:t>scope of 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w:t>
      </w:r>
    </w:p>
    <w:p w14:paraId="710FE087" w14:textId="3C6BBEB8"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applies with respect to “crypto assets” which are defined very broadly as a “digital representation of a value or a right that uses cryptography for security and is in the form of a coin or a token or any other digital medium which may be transferred and stored electronically, using distributed ledger technology or similar technology (Art 3(1)(5) 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This definition is very broad and is aimed at capturing not only cryptocurrencies, such as Bitcoin and Ethereum, but also stablecoins and utility tokens. </w:t>
      </w:r>
    </w:p>
    <w:p w14:paraId="09258778" w14:textId="1D157964" w:rsidR="000334CF" w:rsidRPr="00C322F1" w:rsidRDefault="00250210"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Crypto assets</w:t>
      </w:r>
      <w:r w:rsidR="000334CF" w:rsidRPr="00C322F1">
        <w:rPr>
          <w:rFonts w:asciiTheme="minorBidi" w:eastAsia="Times New Roman" w:hAnsiTheme="minorBidi"/>
          <w:kern w:val="0"/>
          <w14:ligatures w14:val="none"/>
        </w:rPr>
        <w:t xml:space="preserve"> which qualify as financial instruments for the purpose of the Markets in financial instruments Directive and security tokens which would qualify as transferable securities are not within the scope of MiCAR. Also excluded are unique and non-fungible tokens (NFTs) unless they replicate a financial instrument or where the issuer creates a “collection” of assets for purchase. Thus, whether NFTs are covered must be assessed on a case-by-case basis. </w:t>
      </w:r>
    </w:p>
    <w:p w14:paraId="7FCAB3C6"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Finally, MiCAR does not apply to central bank digital currencies (CBDCs) issued by the European Central Bank and digital assets issued by national central banks. </w:t>
      </w:r>
    </w:p>
    <w:p w14:paraId="1E5FA114" w14:textId="36635942" w:rsidR="000334CF" w:rsidRPr="00C322F1" w:rsidRDefault="000334CF" w:rsidP="00C322F1">
      <w:pPr>
        <w:spacing w:before="100" w:beforeAutospacing="1" w:after="100" w:afterAutospacing="1" w:line="240" w:lineRule="auto"/>
        <w:jc w:val="both"/>
        <w:outlineLvl w:val="3"/>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Requirements for Issuers of Crypto-</w:t>
      </w:r>
      <w:r w:rsidR="00250210" w:rsidRPr="00C322F1">
        <w:rPr>
          <w:rFonts w:asciiTheme="minorBidi" w:eastAsia="Times New Roman" w:hAnsiTheme="minorBidi"/>
          <w:b/>
          <w:bCs/>
          <w:kern w:val="0"/>
          <w14:ligatures w14:val="none"/>
        </w:rPr>
        <w:t>A</w:t>
      </w:r>
      <w:r w:rsidRPr="00C322F1">
        <w:rPr>
          <w:rFonts w:asciiTheme="minorBidi" w:eastAsia="Times New Roman" w:hAnsiTheme="minorBidi"/>
          <w:b/>
          <w:bCs/>
          <w:kern w:val="0"/>
          <w14:ligatures w14:val="none"/>
        </w:rPr>
        <w:t>ssets (Excluding Stablecoins) under MiCAR</w:t>
      </w:r>
    </w:p>
    <w:p w14:paraId="55B33057" w14:textId="77777777" w:rsidR="000334CF" w:rsidRPr="00C322F1" w:rsidRDefault="000334CF" w:rsidP="00C322F1">
      <w:pPr>
        <w:spacing w:before="100" w:beforeAutospacing="1" w:after="100" w:afterAutospacing="1" w:line="240" w:lineRule="auto"/>
        <w:jc w:val="both"/>
        <w:outlineLvl w:val="3"/>
        <w:rPr>
          <w:rFonts w:asciiTheme="minorBidi" w:eastAsia="Times New Roman" w:hAnsiTheme="minorBidi"/>
          <w:kern w:val="0"/>
          <w14:ligatures w14:val="none"/>
        </w:rPr>
      </w:pPr>
      <w:r w:rsidRPr="00C322F1">
        <w:rPr>
          <w:rFonts w:asciiTheme="minorBidi" w:eastAsia="Times New Roman" w:hAnsiTheme="minorBidi"/>
          <w:kern w:val="0"/>
          <w14:ligatures w14:val="none"/>
        </w:rPr>
        <w:t>White Paper</w:t>
      </w:r>
    </w:p>
    <w:p w14:paraId="56525CA9" w14:textId="21A30E6B" w:rsidR="000334CF" w:rsidRPr="00C322F1" w:rsidRDefault="000334CF" w:rsidP="00C322F1">
      <w:pPr>
        <w:spacing w:before="100" w:beforeAutospacing="1" w:after="100" w:afterAutospacing="1" w:line="240" w:lineRule="auto"/>
        <w:jc w:val="both"/>
        <w:outlineLvl w:val="3"/>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MiCAR creates a basic regime for all issuers of </w:t>
      </w:r>
      <w:r w:rsidR="00250210" w:rsidRPr="00C322F1">
        <w:rPr>
          <w:rFonts w:asciiTheme="minorBidi" w:eastAsia="Times New Roman" w:hAnsiTheme="minorBidi"/>
          <w:kern w:val="0"/>
          <w14:ligatures w14:val="none"/>
        </w:rPr>
        <w:t>crypto assets</w:t>
      </w:r>
      <w:r w:rsidRPr="00C322F1">
        <w:rPr>
          <w:rFonts w:asciiTheme="minorBidi" w:eastAsia="Times New Roman" w:hAnsiTheme="minorBidi"/>
          <w:kern w:val="0"/>
          <w14:ligatures w14:val="none"/>
        </w:rPr>
        <w:t xml:space="preserve"> and imposes additional or </w:t>
      </w:r>
      <w:r w:rsidR="00250210" w:rsidRPr="00C322F1">
        <w:rPr>
          <w:rFonts w:asciiTheme="minorBidi" w:eastAsia="Times New Roman" w:hAnsiTheme="minorBidi"/>
          <w:kern w:val="0"/>
          <w14:ligatures w14:val="none"/>
        </w:rPr>
        <w:t>different</w:t>
      </w:r>
      <w:r w:rsidRPr="00C322F1">
        <w:rPr>
          <w:rFonts w:asciiTheme="minorBidi" w:eastAsia="Times New Roman" w:hAnsiTheme="minorBidi"/>
          <w:kern w:val="0"/>
          <w14:ligatures w14:val="none"/>
        </w:rPr>
        <w:t xml:space="preserve"> obligations on issuers of asset-referenced tokens or issuers of e-money tokens.</w:t>
      </w:r>
    </w:p>
    <w:p w14:paraId="30B99E2E" w14:textId="06D936CB" w:rsidR="000334CF" w:rsidRPr="00C322F1" w:rsidRDefault="000334CF" w:rsidP="00C322F1">
      <w:pPr>
        <w:spacing w:before="100" w:beforeAutospacing="1" w:after="100" w:afterAutospacing="1" w:line="240" w:lineRule="auto"/>
        <w:jc w:val="both"/>
        <w:outlineLvl w:val="3"/>
        <w:rPr>
          <w:rFonts w:asciiTheme="minorBidi" w:eastAsia="Times New Roman" w:hAnsiTheme="minorBidi"/>
          <w:b/>
          <w:bCs/>
          <w:kern w:val="0"/>
          <w14:ligatures w14:val="none"/>
        </w:rPr>
      </w:pPr>
      <w:r w:rsidRPr="00C322F1">
        <w:rPr>
          <w:rFonts w:asciiTheme="minorBidi" w:eastAsia="Times New Roman" w:hAnsiTheme="minorBidi"/>
          <w:kern w:val="0"/>
          <w14:ligatures w14:val="none"/>
        </w:rPr>
        <w:t xml:space="preserve"> Under the basic rules any issuer of crypto asset is required to publish a white paper in respect of the relevant crypto asset. The white paper should:</w:t>
      </w:r>
    </w:p>
    <w:p w14:paraId="5BF61BEF" w14:textId="1CD58EFB" w:rsidR="000334CF" w:rsidRPr="00C322F1" w:rsidRDefault="000334CF" w:rsidP="00C322F1">
      <w:pPr>
        <w:numPr>
          <w:ilvl w:val="0"/>
          <w:numId w:val="1"/>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Include a short summary</w:t>
      </w:r>
      <w:r w:rsidR="006A788C">
        <w:rPr>
          <w:rFonts w:asciiTheme="minorBidi" w:eastAsia="Times New Roman" w:hAnsiTheme="minorBidi"/>
          <w:kern w:val="0"/>
          <w14:ligatures w14:val="none"/>
        </w:rPr>
        <w:t>;</w:t>
      </w:r>
    </w:p>
    <w:p w14:paraId="0B9A75C5" w14:textId="47DAE1DD" w:rsidR="000334CF" w:rsidRPr="00C322F1" w:rsidRDefault="000334CF" w:rsidP="00C322F1">
      <w:pPr>
        <w:numPr>
          <w:ilvl w:val="0"/>
          <w:numId w:val="1"/>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Outline main information about the offeror</w:t>
      </w:r>
      <w:r w:rsidR="006A788C">
        <w:rPr>
          <w:rFonts w:asciiTheme="minorBidi" w:eastAsia="Times New Roman" w:hAnsiTheme="minorBidi"/>
          <w:kern w:val="0"/>
          <w14:ligatures w14:val="none"/>
        </w:rPr>
        <w:t>;</w:t>
      </w:r>
    </w:p>
    <w:p w14:paraId="3FA4C728" w14:textId="3317BB58" w:rsidR="000334CF" w:rsidRPr="00C322F1" w:rsidRDefault="000334CF" w:rsidP="00C322F1">
      <w:pPr>
        <w:numPr>
          <w:ilvl w:val="0"/>
          <w:numId w:val="1"/>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Describe the project, terms and conditions, environmental impacts</w:t>
      </w:r>
      <w:r w:rsidR="006A788C">
        <w:rPr>
          <w:rFonts w:asciiTheme="minorBidi" w:eastAsia="Times New Roman" w:hAnsiTheme="minorBidi"/>
          <w:kern w:val="0"/>
          <w14:ligatures w14:val="none"/>
        </w:rPr>
        <w:t>;</w:t>
      </w:r>
    </w:p>
    <w:p w14:paraId="2F79130A" w14:textId="77777777" w:rsidR="000334CF" w:rsidRPr="00C322F1" w:rsidRDefault="000334CF" w:rsidP="00C322F1">
      <w:pPr>
        <w:numPr>
          <w:ilvl w:val="0"/>
          <w:numId w:val="1"/>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Describe the rights attached to the crypto-asset and the key risks.</w:t>
      </w:r>
    </w:p>
    <w:p w14:paraId="52DC2160" w14:textId="1BE483E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Unlike security prospectus, a white paper under 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will not require mandatory approval by the relevant competent national authority prior to publication. Issuers will only be required to send a mandatory notification to the competent authority at </w:t>
      </w:r>
      <w:r w:rsidRPr="00C322F1">
        <w:rPr>
          <w:rFonts w:asciiTheme="minorBidi" w:eastAsia="Times New Roman" w:hAnsiTheme="minorBidi"/>
          <w:kern w:val="0"/>
          <w14:ligatures w14:val="none"/>
        </w:rPr>
        <w:lastRenderedPageBreak/>
        <w:t xml:space="preserve">least 20 days before publishing the </w:t>
      </w:r>
      <w:r w:rsidR="00250210" w:rsidRPr="00C322F1">
        <w:rPr>
          <w:rFonts w:asciiTheme="minorBidi" w:eastAsia="Times New Roman" w:hAnsiTheme="minorBidi"/>
          <w:kern w:val="0"/>
          <w14:ligatures w14:val="none"/>
        </w:rPr>
        <w:t>w</w:t>
      </w:r>
      <w:r w:rsidRPr="00C322F1">
        <w:rPr>
          <w:rFonts w:asciiTheme="minorBidi" w:eastAsia="Times New Roman" w:hAnsiTheme="minorBidi"/>
          <w:kern w:val="0"/>
          <w14:ligatures w14:val="none"/>
        </w:rPr>
        <w:t xml:space="preserve">hite </w:t>
      </w:r>
      <w:r w:rsidR="00250210" w:rsidRPr="00C322F1">
        <w:rPr>
          <w:rFonts w:asciiTheme="minorBidi" w:eastAsia="Times New Roman" w:hAnsiTheme="minorBidi"/>
          <w:kern w:val="0"/>
          <w14:ligatures w14:val="none"/>
        </w:rPr>
        <w:t>p</w:t>
      </w:r>
      <w:r w:rsidRPr="00C322F1">
        <w:rPr>
          <w:rFonts w:asciiTheme="minorBidi" w:eastAsia="Times New Roman" w:hAnsiTheme="minorBidi"/>
          <w:kern w:val="0"/>
          <w14:ligatures w14:val="none"/>
        </w:rPr>
        <w:t xml:space="preserve">aper. If there are no objections by the national competent authority, issuers located in one EU Member State will be able to offer crypto assets to investors across the EU without further notification to other national competent authorities in other EU Member States.   </w:t>
      </w:r>
    </w:p>
    <w:p w14:paraId="61F9494C" w14:textId="513AF88D"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The public offering to fewer than 150 persons per member state, the public offer of crypto assets whose total consideration does not exceed EUR 1 million over the last 12 months as well as offers solely addressed to qualified investors are exempt from the publishing of a </w:t>
      </w:r>
      <w:r w:rsidR="00250210" w:rsidRPr="00C322F1">
        <w:rPr>
          <w:rFonts w:asciiTheme="minorBidi" w:eastAsia="Times New Roman" w:hAnsiTheme="minorBidi"/>
          <w:kern w:val="0"/>
          <w14:ligatures w14:val="none"/>
        </w:rPr>
        <w:t>w</w:t>
      </w:r>
      <w:r w:rsidRPr="00C322F1">
        <w:rPr>
          <w:rFonts w:asciiTheme="minorBidi" w:eastAsia="Times New Roman" w:hAnsiTheme="minorBidi"/>
          <w:kern w:val="0"/>
          <w14:ligatures w14:val="none"/>
        </w:rPr>
        <w:t xml:space="preserve">hite </w:t>
      </w:r>
      <w:r w:rsidR="00250210" w:rsidRPr="00C322F1">
        <w:rPr>
          <w:rFonts w:asciiTheme="minorBidi" w:eastAsia="Times New Roman" w:hAnsiTheme="minorBidi"/>
          <w:kern w:val="0"/>
          <w14:ligatures w14:val="none"/>
        </w:rPr>
        <w:t>p</w:t>
      </w:r>
      <w:r w:rsidRPr="00C322F1">
        <w:rPr>
          <w:rFonts w:asciiTheme="minorBidi" w:eastAsia="Times New Roman" w:hAnsiTheme="minorBidi"/>
          <w:kern w:val="0"/>
          <w14:ligatures w14:val="none"/>
        </w:rPr>
        <w:t xml:space="preserve">aper. </w:t>
      </w:r>
    </w:p>
    <w:p w14:paraId="337DD841"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Liability and Withdrawal Right </w:t>
      </w:r>
    </w:p>
    <w:p w14:paraId="7DDE01D0" w14:textId="3642C60E" w:rsidR="000334CF" w:rsidRPr="00C322F1" w:rsidRDefault="000334CF" w:rsidP="00652D20">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Issuers are liable for incomplete or misleading information in the White Paper. Retail</w:t>
      </w:r>
      <w:r w:rsidR="006A788C">
        <w:rPr>
          <w:rFonts w:asciiTheme="minorBidi" w:eastAsia="Times New Roman" w:hAnsiTheme="minorBidi"/>
          <w:kern w:val="0"/>
          <w14:ligatures w14:val="none"/>
        </w:rPr>
        <w:t xml:space="preserve"> </w:t>
      </w:r>
      <w:r w:rsidRPr="00C322F1">
        <w:rPr>
          <w:rFonts w:asciiTheme="minorBidi" w:eastAsia="Times New Roman" w:hAnsiTheme="minorBidi"/>
          <w:kern w:val="0"/>
          <w14:ligatures w14:val="none"/>
        </w:rPr>
        <w:t>investors benefit from a special withdrawal right</w:t>
      </w:r>
      <w:r w:rsidR="00652D20">
        <w:rPr>
          <w:rFonts w:asciiTheme="minorBidi" w:eastAsia="Times New Roman" w:hAnsiTheme="minorBidi"/>
          <w:kern w:val="0"/>
          <w14:ligatures w14:val="none"/>
        </w:rPr>
        <w:t>.</w:t>
      </w:r>
      <w:r w:rsidRPr="00C322F1">
        <w:rPr>
          <w:rFonts w:asciiTheme="minorBidi" w:eastAsia="Times New Roman" w:hAnsiTheme="minorBidi"/>
          <w:kern w:val="0"/>
          <w14:ligatures w14:val="none"/>
        </w:rPr>
        <w:t xml:space="preserve"> </w:t>
      </w:r>
    </w:p>
    <w:p w14:paraId="48F87E59" w14:textId="77777777" w:rsidR="000334CF" w:rsidRPr="00C322F1" w:rsidRDefault="000334CF" w:rsidP="00C322F1">
      <w:pPr>
        <w:spacing w:before="100" w:beforeAutospacing="1" w:after="100" w:afterAutospacing="1" w:line="240" w:lineRule="auto"/>
        <w:jc w:val="both"/>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Requirements for issuers of stablecoins</w:t>
      </w:r>
    </w:p>
    <w:p w14:paraId="00140ADB" w14:textId="311E3873"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In addition to the basic regime for issuers of </w:t>
      </w:r>
      <w:r w:rsidR="00250210" w:rsidRPr="00C322F1">
        <w:rPr>
          <w:rFonts w:asciiTheme="minorBidi" w:eastAsia="Times New Roman" w:hAnsiTheme="minorBidi"/>
          <w:kern w:val="0"/>
          <w14:ligatures w14:val="none"/>
        </w:rPr>
        <w:t>crypto assets</w:t>
      </w:r>
      <w:r w:rsidRPr="00C322F1">
        <w:rPr>
          <w:rFonts w:asciiTheme="minorBidi" w:eastAsia="Times New Roman" w:hAnsiTheme="minorBidi"/>
          <w:kern w:val="0"/>
          <w14:ligatures w14:val="none"/>
        </w:rPr>
        <w:t xml:space="preserve">, issuers of stablecoins (assets-referenced tokens or e-money tokens) are subject to additional regulatory requirements aimed at ensuring proper regulation and additional supervision. </w:t>
      </w:r>
    </w:p>
    <w:p w14:paraId="1BF123F7" w14:textId="0ADB0445"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Stablecoins are referred to in MiCA</w:t>
      </w:r>
      <w:r w:rsidR="00250210"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as </w:t>
      </w:r>
      <w:r w:rsidR="00250210" w:rsidRPr="00C322F1">
        <w:rPr>
          <w:rFonts w:asciiTheme="minorBidi" w:eastAsia="Times New Roman" w:hAnsiTheme="minorBidi"/>
          <w:kern w:val="0"/>
          <w14:ligatures w14:val="none"/>
        </w:rPr>
        <w:t>crypto assets</w:t>
      </w:r>
      <w:r w:rsidRPr="00C322F1">
        <w:rPr>
          <w:rFonts w:asciiTheme="minorBidi" w:eastAsia="Times New Roman" w:hAnsiTheme="minorBidi"/>
          <w:kern w:val="0"/>
          <w14:ligatures w14:val="none"/>
        </w:rPr>
        <w:t xml:space="preserve"> whose aim is to maintain a stable value in relation to an official currency of a country, such as to the US Dollar or to the EUR, or to one or several assets. Without going into too many details, the issuer of stablecoins </w:t>
      </w:r>
      <w:r w:rsidR="00250210" w:rsidRPr="00C322F1">
        <w:rPr>
          <w:rFonts w:asciiTheme="minorBidi" w:eastAsia="Times New Roman" w:hAnsiTheme="minorBidi"/>
          <w:kern w:val="0"/>
          <w14:ligatures w14:val="none"/>
        </w:rPr>
        <w:t>needs</w:t>
      </w:r>
      <w:r w:rsidRPr="00C322F1">
        <w:rPr>
          <w:rFonts w:asciiTheme="minorBidi" w:eastAsia="Times New Roman" w:hAnsiTheme="minorBidi"/>
          <w:kern w:val="0"/>
          <w14:ligatures w14:val="none"/>
        </w:rPr>
        <w:t xml:space="preserve"> an authorization/license from one national competent authority in the EU in order to offer stablecoins in the EU or to be admitted to trading on a crypto platform in the EU. The regime also provides for some exemption</w:t>
      </w:r>
      <w:r w:rsidR="00250210" w:rsidRPr="00C322F1">
        <w:rPr>
          <w:rFonts w:asciiTheme="minorBidi" w:eastAsia="Times New Roman" w:hAnsiTheme="minorBidi"/>
          <w:kern w:val="0"/>
          <w14:ligatures w14:val="none"/>
        </w:rPr>
        <w:t>.</w:t>
      </w:r>
      <w:r w:rsidRPr="00C322F1">
        <w:rPr>
          <w:rFonts w:asciiTheme="minorBidi" w:eastAsia="Times New Roman" w:hAnsiTheme="minorBidi"/>
          <w:kern w:val="0"/>
          <w14:ligatures w14:val="none"/>
        </w:rPr>
        <w:t xml:space="preserve"> </w:t>
      </w:r>
    </w:p>
    <w:p w14:paraId="736DF00F" w14:textId="7FEC8B2F"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Please note that the issuance of e-money tokens, basically a representation of fiat currency</w:t>
      </w:r>
      <w:r w:rsidR="00250210" w:rsidRPr="00C322F1">
        <w:rPr>
          <w:rFonts w:asciiTheme="minorBidi" w:eastAsia="Times New Roman" w:hAnsiTheme="minorBidi"/>
          <w:kern w:val="0"/>
          <w14:ligatures w14:val="none"/>
        </w:rPr>
        <w:t xml:space="preserve"> (e.g. US dollar, EUR or Yen) </w:t>
      </w:r>
      <w:r w:rsidRPr="00C322F1">
        <w:rPr>
          <w:rFonts w:asciiTheme="minorBidi" w:eastAsia="Times New Roman" w:hAnsiTheme="minorBidi"/>
          <w:kern w:val="0"/>
          <w14:ligatures w14:val="none"/>
        </w:rPr>
        <w:t>used for electronic payments (</w:t>
      </w:r>
      <w:r w:rsidR="00DF60C3" w:rsidRPr="00C322F1">
        <w:rPr>
          <w:rFonts w:asciiTheme="minorBidi" w:eastAsia="Times New Roman" w:hAnsiTheme="minorBidi"/>
          <w:kern w:val="0"/>
          <w14:ligatures w14:val="none"/>
        </w:rPr>
        <w:t xml:space="preserve">where the </w:t>
      </w:r>
      <w:r w:rsidRPr="00C322F1">
        <w:rPr>
          <w:rFonts w:asciiTheme="minorBidi" w:eastAsia="Times New Roman" w:hAnsiTheme="minorBidi"/>
          <w:kern w:val="0"/>
          <w14:ligatures w14:val="none"/>
        </w:rPr>
        <w:t xml:space="preserve">value is secured by the value of fiat currency that is a legal tender), is only permitted for EU credit institutions and for electronic money institutions authorized under the E-money Directive. </w:t>
      </w:r>
    </w:p>
    <w:p w14:paraId="5B9F56ED"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Finally, if stablecoins are categorized as significant, meaning that they can be used by a large number of holders and thereby able to raise specific challenges in terms of financial stability, issuers have to fulfill additional (stricter) requirements and will be supervised by the European Banking Authority (EBA). </w:t>
      </w:r>
    </w:p>
    <w:p w14:paraId="0AD69619" w14:textId="77777777" w:rsidR="000334CF" w:rsidRPr="00C322F1" w:rsidRDefault="000334CF" w:rsidP="00C322F1">
      <w:pPr>
        <w:spacing w:before="100" w:beforeAutospacing="1" w:after="100" w:afterAutospacing="1" w:line="240" w:lineRule="auto"/>
        <w:jc w:val="both"/>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 xml:space="preserve">Impact of MiCAR on Crypto Asset Service Providers (CASPs)  </w:t>
      </w:r>
    </w:p>
    <w:p w14:paraId="6548E1F2" w14:textId="35B53C62"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Besides the rules about the issuance of crypto assets, one of the fundamental principles of the </w:t>
      </w:r>
      <w:proofErr w:type="spellStart"/>
      <w:r w:rsidRPr="00C322F1">
        <w:rPr>
          <w:rFonts w:asciiTheme="minorBidi" w:eastAsia="Times New Roman" w:hAnsiTheme="minorBidi"/>
          <w:kern w:val="0"/>
          <w14:ligatures w14:val="none"/>
        </w:rPr>
        <w:t>MiCA</w:t>
      </w:r>
      <w:proofErr w:type="spellEnd"/>
      <w:r w:rsidRPr="00C322F1">
        <w:rPr>
          <w:rFonts w:asciiTheme="minorBidi" w:eastAsia="Times New Roman" w:hAnsiTheme="minorBidi"/>
          <w:kern w:val="0"/>
          <w14:ligatures w14:val="none"/>
        </w:rPr>
        <w:t xml:space="preserve"> regulation is the introduction of a harmonized prudential and business conduct framework that applies to crypto asset service providers (CASPs). The implosion of one of the largest crypto-exchanges, FTX, and the </w:t>
      </w:r>
      <w:r w:rsidRPr="00C322F1">
        <w:rPr>
          <w:rFonts w:asciiTheme="minorBidi" w:eastAsia="Times New Roman" w:hAnsiTheme="minorBidi"/>
          <w:kern w:val="0"/>
          <w14:ligatures w14:val="none"/>
        </w:rPr>
        <w:lastRenderedPageBreak/>
        <w:t xml:space="preserve">collapse of Terra/Luna highlight the need for a set of clear rules applicable to crypto service providers. </w:t>
      </w:r>
    </w:p>
    <w:p w14:paraId="3810E8D7"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CASPs are defined as legal persons (and other undertakings) whose business is to provide one or more crypto asset services to clients on a professional basis, where crypto asset services include services such as: </w:t>
      </w:r>
    </w:p>
    <w:p w14:paraId="7BC15778" w14:textId="3AB4E186" w:rsidR="000334CF" w:rsidRPr="00C322F1" w:rsidRDefault="000334CF" w:rsidP="00C322F1">
      <w:pPr>
        <w:pStyle w:val="ListParagraph"/>
        <w:numPr>
          <w:ilvl w:val="0"/>
          <w:numId w:val="2"/>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The custody and administration of crypto assets on behalf of third parties</w:t>
      </w:r>
      <w:r w:rsidR="006A788C">
        <w:rPr>
          <w:rFonts w:asciiTheme="minorBidi" w:eastAsia="Times New Roman" w:hAnsiTheme="minorBidi"/>
          <w:kern w:val="0"/>
          <w14:ligatures w14:val="none"/>
        </w:rPr>
        <w:t>.</w:t>
      </w:r>
    </w:p>
    <w:p w14:paraId="43458EDB" w14:textId="483CB4BC" w:rsidR="000334CF" w:rsidRPr="00C322F1" w:rsidRDefault="000334CF" w:rsidP="00C322F1">
      <w:pPr>
        <w:pStyle w:val="ListParagraph"/>
        <w:numPr>
          <w:ilvl w:val="0"/>
          <w:numId w:val="2"/>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The operation of a trading platform that exchange crypto assets into fiat or into other crypto assets</w:t>
      </w:r>
      <w:r w:rsidR="006A788C">
        <w:rPr>
          <w:rFonts w:asciiTheme="minorBidi" w:eastAsia="Times New Roman" w:hAnsiTheme="minorBidi"/>
          <w:kern w:val="0"/>
          <w14:ligatures w14:val="none"/>
        </w:rPr>
        <w:t>.</w:t>
      </w:r>
    </w:p>
    <w:p w14:paraId="5E862F90" w14:textId="5BEE6F14" w:rsidR="000334CF" w:rsidRPr="00C322F1" w:rsidRDefault="000334CF" w:rsidP="00C322F1">
      <w:pPr>
        <w:pStyle w:val="ListParagraph"/>
        <w:numPr>
          <w:ilvl w:val="0"/>
          <w:numId w:val="2"/>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The execution of orders for crypto assets on behalf of third parties</w:t>
      </w:r>
      <w:r w:rsidR="006A788C">
        <w:rPr>
          <w:rFonts w:asciiTheme="minorBidi" w:eastAsia="Times New Roman" w:hAnsiTheme="minorBidi"/>
          <w:kern w:val="0"/>
          <w14:ligatures w14:val="none"/>
        </w:rPr>
        <w:t>.</w:t>
      </w:r>
    </w:p>
    <w:p w14:paraId="5CDB9681" w14:textId="652849D9" w:rsidR="000334CF" w:rsidRPr="00C322F1" w:rsidRDefault="000334CF" w:rsidP="00C322F1">
      <w:pPr>
        <w:pStyle w:val="ListParagraph"/>
        <w:numPr>
          <w:ilvl w:val="0"/>
          <w:numId w:val="2"/>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Providing transfer services for crypto assets from one wallet to another on behalf of clients</w:t>
      </w:r>
      <w:r w:rsidR="006A788C">
        <w:rPr>
          <w:rFonts w:asciiTheme="minorBidi" w:eastAsia="Times New Roman" w:hAnsiTheme="minorBidi"/>
          <w:kern w:val="0"/>
          <w14:ligatures w14:val="none"/>
        </w:rPr>
        <w:t>.</w:t>
      </w:r>
    </w:p>
    <w:p w14:paraId="6F29C1FB" w14:textId="77777777" w:rsidR="000334CF" w:rsidRPr="00C322F1" w:rsidRDefault="000334CF" w:rsidP="00C322F1">
      <w:pPr>
        <w:pStyle w:val="ListParagraph"/>
        <w:numPr>
          <w:ilvl w:val="0"/>
          <w:numId w:val="2"/>
        </w:num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Providing advice on crypto assets. </w:t>
      </w:r>
    </w:p>
    <w:p w14:paraId="3003A256" w14:textId="5D4653AA" w:rsidR="000334CF" w:rsidRPr="00C322F1" w:rsidRDefault="000334CF" w:rsidP="00652D20">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Generally, a CASP</w:t>
      </w:r>
      <w:r w:rsidR="006A788C">
        <w:rPr>
          <w:rFonts w:asciiTheme="minorBidi" w:eastAsia="Times New Roman" w:hAnsiTheme="minorBidi"/>
          <w:kern w:val="0"/>
          <w14:ligatures w14:val="none"/>
        </w:rPr>
        <w:t>,</w:t>
      </w:r>
      <w:r w:rsidRPr="00C322F1">
        <w:rPr>
          <w:rFonts w:asciiTheme="minorBidi" w:eastAsia="Times New Roman" w:hAnsiTheme="minorBidi"/>
          <w:kern w:val="0"/>
          <w14:ligatures w14:val="none"/>
        </w:rPr>
        <w:t xml:space="preserve"> who renders one or </w:t>
      </w:r>
      <w:r w:rsidR="00DF60C3" w:rsidRPr="00C322F1">
        <w:rPr>
          <w:rFonts w:asciiTheme="minorBidi" w:eastAsia="Times New Roman" w:hAnsiTheme="minorBidi"/>
          <w:kern w:val="0"/>
          <w14:ligatures w14:val="none"/>
        </w:rPr>
        <w:t>more</w:t>
      </w:r>
      <w:r w:rsidRPr="00C322F1">
        <w:rPr>
          <w:rFonts w:asciiTheme="minorBidi" w:eastAsia="Times New Roman" w:hAnsiTheme="minorBidi"/>
          <w:kern w:val="0"/>
          <w14:ligatures w14:val="none"/>
        </w:rPr>
        <w:t xml:space="preserve"> crypto currency services in the EU need</w:t>
      </w:r>
      <w:r w:rsidR="006A788C">
        <w:rPr>
          <w:rFonts w:asciiTheme="minorBidi" w:eastAsia="Times New Roman" w:hAnsiTheme="minorBidi"/>
          <w:kern w:val="0"/>
          <w14:ligatures w14:val="none"/>
        </w:rPr>
        <w:t>s</w:t>
      </w:r>
      <w:r w:rsidRPr="00C322F1">
        <w:rPr>
          <w:rFonts w:asciiTheme="minorBidi" w:eastAsia="Times New Roman" w:hAnsiTheme="minorBidi"/>
          <w:kern w:val="0"/>
          <w14:ligatures w14:val="none"/>
        </w:rPr>
        <w:t xml:space="preserve"> a registered office, a place of effective management and at least one director in the EU. In </w:t>
      </w:r>
      <w:r w:rsidR="00DF60C3" w:rsidRPr="00C322F1">
        <w:rPr>
          <w:rFonts w:asciiTheme="minorBidi" w:eastAsia="Times New Roman" w:hAnsiTheme="minorBidi"/>
          <w:kern w:val="0"/>
          <w14:ligatures w14:val="none"/>
        </w:rPr>
        <w:t>addition,</w:t>
      </w:r>
      <w:r w:rsidRPr="00C322F1">
        <w:rPr>
          <w:rFonts w:asciiTheme="minorBidi" w:eastAsia="Times New Roman" w:hAnsiTheme="minorBidi"/>
          <w:kern w:val="0"/>
          <w14:ligatures w14:val="none"/>
        </w:rPr>
        <w:t xml:space="preserve"> the CASP needs an authorization/license by his home Member State. Based on a single license obtained in the home Member State, CASPs are able to provide services across the EU in accordance with the so called European “passporting” mechanism</w:t>
      </w:r>
      <w:r w:rsidR="00652D20">
        <w:rPr>
          <w:rFonts w:asciiTheme="minorBidi" w:eastAsia="Times New Roman" w:hAnsiTheme="minorBidi"/>
          <w:kern w:val="0"/>
          <w14:ligatures w14:val="none"/>
        </w:rPr>
        <w:t>.</w:t>
      </w:r>
      <w:r w:rsidRPr="00C322F1">
        <w:rPr>
          <w:rFonts w:asciiTheme="minorBidi" w:eastAsia="Times New Roman" w:hAnsiTheme="minorBidi"/>
          <w:kern w:val="0"/>
          <w14:ligatures w14:val="none"/>
        </w:rPr>
        <w:t xml:space="preserve"> </w:t>
      </w:r>
    </w:p>
    <w:p w14:paraId="1677834E"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Please note that authorized credit institutions and other investment firms authorized under the Markets in Financial Instruments Directive (MiFID) may provide crypto asset related services without having to obtain an additional authorization. </w:t>
      </w:r>
    </w:p>
    <w:p w14:paraId="01F4F472" w14:textId="4D0E0FC8"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Besides an authorization/license crypto asset service providers must comply with ongoing governance and conduct obligations. Thus, CASP will have to comply with detailed requirements in respect of its governance arrangements and risk management. CASPs are required to monitor, and disclose conflict of interest, and have in place internal know-your customer policies. In addition, CASPs have to maintain prudential safeguards, either in the form of their own funds or by taking out insurance. Like the conduct of business rules under MiFID</w:t>
      </w:r>
      <w:r w:rsidR="00DF60C3" w:rsidRPr="00C322F1">
        <w:rPr>
          <w:rFonts w:asciiTheme="minorBidi" w:eastAsia="Times New Roman" w:hAnsiTheme="minorBidi"/>
          <w:kern w:val="0"/>
          <w14:ligatures w14:val="none"/>
        </w:rPr>
        <w:t>,</w:t>
      </w:r>
      <w:r w:rsidRPr="00C322F1">
        <w:rPr>
          <w:rFonts w:asciiTheme="minorBidi" w:eastAsia="Times New Roman" w:hAnsiTheme="minorBidi"/>
          <w:kern w:val="0"/>
          <w14:ligatures w14:val="none"/>
        </w:rPr>
        <w:t xml:space="preserve"> CASPs under MiCAR are obliged to act honestly, fairly and professionally in the best interest of the client. </w:t>
      </w:r>
    </w:p>
    <w:p w14:paraId="2D527A3A"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Specific requirements for specific crypto asset services</w:t>
      </w:r>
    </w:p>
    <w:p w14:paraId="5027E17B" w14:textId="52F12601"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For some specific crypto asset services, such as the operation of trading platforms for crypto assets, the provision of advice </w:t>
      </w:r>
      <w:r w:rsidR="00DF60C3" w:rsidRPr="00C322F1">
        <w:rPr>
          <w:rFonts w:asciiTheme="minorBidi" w:eastAsia="Times New Roman" w:hAnsiTheme="minorBidi"/>
          <w:kern w:val="0"/>
          <w14:ligatures w14:val="none"/>
        </w:rPr>
        <w:t>on</w:t>
      </w:r>
      <w:r w:rsidRPr="00C322F1">
        <w:rPr>
          <w:rFonts w:asciiTheme="minorBidi" w:eastAsia="Times New Roman" w:hAnsiTheme="minorBidi"/>
          <w:kern w:val="0"/>
          <w14:ligatures w14:val="none"/>
        </w:rPr>
        <w:t xml:space="preserve"> crypto assets and the custody and administration of crypto assets on behalf of third parties, MiCAR introduces even stricter requirements in order to safeguard customers</w:t>
      </w:r>
      <w:r w:rsidRPr="00C322F1">
        <w:rPr>
          <w:rFonts w:asciiTheme="minorBidi" w:eastAsia="Times New Roman" w:hAnsiTheme="minorBidi"/>
          <w:kern w:val="0"/>
          <w:rtl/>
          <w14:ligatures w14:val="none"/>
        </w:rPr>
        <w:t>'</w:t>
      </w:r>
      <w:r w:rsidRPr="00C322F1">
        <w:rPr>
          <w:rFonts w:asciiTheme="minorBidi" w:eastAsia="Times New Roman" w:hAnsiTheme="minorBidi"/>
          <w:kern w:val="0"/>
          <w14:ligatures w14:val="none"/>
        </w:rPr>
        <w:t xml:space="preserve"> crypto assets. Thus, </w:t>
      </w:r>
      <w:r w:rsidR="00652D20">
        <w:rPr>
          <w:rFonts w:asciiTheme="minorBidi" w:eastAsia="Times New Roman" w:hAnsiTheme="minorBidi"/>
          <w:kern w:val="0"/>
          <w14:ligatures w14:val="none"/>
        </w:rPr>
        <w:t xml:space="preserve">for example </w:t>
      </w:r>
      <w:r w:rsidRPr="00C322F1">
        <w:rPr>
          <w:rFonts w:asciiTheme="minorBidi" w:eastAsia="Times New Roman" w:hAnsiTheme="minorBidi"/>
          <w:kern w:val="0"/>
          <w14:ligatures w14:val="none"/>
        </w:rPr>
        <w:t xml:space="preserve">CASPs who provide custodial services must strictly segregate the holding of crypto for their clients from their own holdings and describe in detail their security systems in place in order to protect the crypto from being lost. </w:t>
      </w:r>
    </w:p>
    <w:p w14:paraId="2502176F" w14:textId="3966C19F" w:rsidR="000334CF" w:rsidRPr="00C322F1" w:rsidRDefault="000334CF" w:rsidP="00652D20">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lastRenderedPageBreak/>
        <w:t>In addition, MiCA</w:t>
      </w:r>
      <w:r w:rsidR="00DF60C3"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introduces specific liability requirements for custodians of crypto assets in relation to losses. In cases where the loss of crypto is attributable to the provision of the services or its operation, the CASP is liable up to the market value of the lost crypto at the time of the loss</w:t>
      </w:r>
      <w:r w:rsidR="00652D20">
        <w:rPr>
          <w:rFonts w:asciiTheme="minorBidi" w:eastAsia="Times New Roman" w:hAnsiTheme="minorBidi"/>
          <w:kern w:val="0"/>
          <w14:ligatures w14:val="none"/>
        </w:rPr>
        <w:t xml:space="preserve">. </w:t>
      </w:r>
      <w:r w:rsidRPr="00C322F1">
        <w:rPr>
          <w:rFonts w:asciiTheme="minorBidi" w:eastAsia="Times New Roman" w:hAnsiTheme="minorBidi"/>
          <w:kern w:val="0"/>
          <w14:ligatures w14:val="none"/>
        </w:rPr>
        <w:t xml:space="preserve"> </w:t>
      </w:r>
    </w:p>
    <w:p w14:paraId="5C49B871" w14:textId="52334DD9" w:rsidR="000334CF" w:rsidRPr="00C322F1" w:rsidRDefault="000334CF" w:rsidP="00C322F1">
      <w:pPr>
        <w:spacing w:before="100" w:beforeAutospacing="1" w:after="100" w:afterAutospacing="1" w:line="240" w:lineRule="auto"/>
        <w:jc w:val="both"/>
        <w:outlineLvl w:val="3"/>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Application and Implementation of MiCA</w:t>
      </w:r>
      <w:r w:rsidR="00DF60C3" w:rsidRPr="00C322F1">
        <w:rPr>
          <w:rFonts w:asciiTheme="minorBidi" w:eastAsia="Times New Roman" w:hAnsiTheme="minorBidi"/>
          <w:b/>
          <w:bCs/>
          <w:kern w:val="0"/>
          <w14:ligatures w14:val="none"/>
        </w:rPr>
        <w:t>R</w:t>
      </w:r>
    </w:p>
    <w:p w14:paraId="1335ACF5" w14:textId="023BDE46"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MiCA</w:t>
      </w:r>
      <w:r w:rsidR="00DF60C3" w:rsidRPr="00C322F1">
        <w:rPr>
          <w:rFonts w:asciiTheme="minorBidi" w:eastAsia="Times New Roman" w:hAnsiTheme="minorBidi"/>
          <w:kern w:val="0"/>
          <w14:ligatures w14:val="none"/>
        </w:rPr>
        <w:t>R is</w:t>
      </w:r>
      <w:r w:rsidRPr="00C322F1">
        <w:rPr>
          <w:rFonts w:asciiTheme="minorBidi" w:eastAsia="Times New Roman" w:hAnsiTheme="minorBidi"/>
          <w:kern w:val="0"/>
          <w14:ligatures w14:val="none"/>
        </w:rPr>
        <w:t xml:space="preserve"> set to take effect in two phases: rules for the issuance and offers of crypto assets to the public will apply from June 2024, while the rest of the provisions will be effective from December 2024.</w:t>
      </w:r>
    </w:p>
    <w:p w14:paraId="0D38E7AF"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Authorized financial institutions</w:t>
      </w:r>
    </w:p>
    <w:p w14:paraId="5B1CCC49" w14:textId="79A63F52"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Due to the fact that the requirements that will apply to CASPs are rather less onerous than the ones that apply to regulated financial institutions in the EU, such as authorized credit institutions or authorized financial institutions like MiFID II investment firms, MiCA</w:t>
      </w:r>
      <w:r w:rsidR="00DF60C3"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provides for an equivalence regime that allows certain regulated institutions to provide crypto asset services based on existing licenses with a mere notification procedure to the competent authorities instead of a full-fledged license requirement under MiCA</w:t>
      </w:r>
      <w:r w:rsidR="00DF60C3"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w:t>
      </w:r>
    </w:p>
    <w:p w14:paraId="7AD5F0B2" w14:textId="77777777"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Authorized CASPs under national law</w:t>
      </w:r>
    </w:p>
    <w:p w14:paraId="7C7FD73E" w14:textId="7CAD005F" w:rsidR="000334CF" w:rsidRPr="00C322F1" w:rsidRDefault="000334CF" w:rsidP="00652D20">
      <w:pPr>
        <w:spacing w:before="100" w:beforeAutospacing="1" w:after="100" w:afterAutospacing="1"/>
        <w:jc w:val="both"/>
        <w:rPr>
          <w:rFonts w:asciiTheme="minorBidi" w:hAnsiTheme="minorBidi"/>
        </w:rPr>
      </w:pPr>
      <w:r w:rsidRPr="00C322F1">
        <w:rPr>
          <w:rFonts w:asciiTheme="minorBidi" w:eastAsia="Times New Roman" w:hAnsiTheme="minorBidi"/>
          <w:kern w:val="0"/>
          <w14:ligatures w14:val="none"/>
        </w:rPr>
        <w:t>Bearing in mind</w:t>
      </w:r>
      <w:r w:rsidRPr="00C322F1">
        <w:rPr>
          <w:rFonts w:asciiTheme="minorBidi" w:hAnsiTheme="minorBidi"/>
        </w:rPr>
        <w:t xml:space="preserve"> that some EU member States already have national regulatory frameworks regulating the crypto industry (for example Germany) in place, the new framework leaves a possibility for Member States to apply a simplified procedure for authorization if the </w:t>
      </w:r>
      <w:r w:rsidR="00C322F1" w:rsidRPr="00C322F1">
        <w:rPr>
          <w:rFonts w:asciiTheme="minorBidi" w:hAnsiTheme="minorBidi"/>
        </w:rPr>
        <w:t>CASP has</w:t>
      </w:r>
      <w:r w:rsidRPr="00C322F1">
        <w:rPr>
          <w:rFonts w:asciiTheme="minorBidi" w:hAnsiTheme="minorBidi"/>
        </w:rPr>
        <w:t xml:space="preserve"> </w:t>
      </w:r>
      <w:r w:rsidR="00DF60C3" w:rsidRPr="00C322F1">
        <w:rPr>
          <w:rFonts w:asciiTheme="minorBidi" w:hAnsiTheme="minorBidi"/>
        </w:rPr>
        <w:t xml:space="preserve">already </w:t>
      </w:r>
      <w:r w:rsidRPr="00C322F1">
        <w:rPr>
          <w:rFonts w:asciiTheme="minorBidi" w:hAnsiTheme="minorBidi"/>
        </w:rPr>
        <w:t xml:space="preserve">a license under national law. Germany is one example for having such a simplified procedure.  </w:t>
      </w:r>
    </w:p>
    <w:p w14:paraId="4F716C05" w14:textId="5432DFEE"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 xml:space="preserve">In addition, according to a grandfathering provision in the </w:t>
      </w:r>
      <w:proofErr w:type="spellStart"/>
      <w:r w:rsidRPr="00C322F1">
        <w:rPr>
          <w:rFonts w:asciiTheme="minorBidi" w:eastAsia="Times New Roman" w:hAnsiTheme="minorBidi"/>
          <w:kern w:val="0"/>
          <w14:ligatures w14:val="none"/>
        </w:rPr>
        <w:t>MiCA</w:t>
      </w:r>
      <w:proofErr w:type="spellEnd"/>
      <w:r w:rsidRPr="00C322F1">
        <w:rPr>
          <w:rFonts w:asciiTheme="minorBidi" w:eastAsia="Times New Roman" w:hAnsiTheme="minorBidi"/>
          <w:kern w:val="0"/>
          <w14:ligatures w14:val="none"/>
        </w:rPr>
        <w:t xml:space="preserve"> </w:t>
      </w:r>
      <w:r w:rsidR="00C322F1" w:rsidRPr="00C322F1">
        <w:rPr>
          <w:rFonts w:asciiTheme="minorBidi" w:eastAsia="Times New Roman" w:hAnsiTheme="minorBidi"/>
          <w:kern w:val="0"/>
          <w14:ligatures w14:val="none"/>
        </w:rPr>
        <w:t>regulation Member</w:t>
      </w:r>
      <w:r w:rsidRPr="00C322F1">
        <w:rPr>
          <w:rFonts w:asciiTheme="minorBidi" w:eastAsia="Times New Roman" w:hAnsiTheme="minorBidi"/>
          <w:kern w:val="0"/>
          <w14:ligatures w14:val="none"/>
        </w:rPr>
        <w:t xml:space="preserve"> States may allow that CASPs operate under their existing license for up to 18 months after MiCA</w:t>
      </w:r>
      <w:r w:rsidR="00DF60C3"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became effective in June 2023 </w:t>
      </w:r>
      <w:r w:rsidR="00652D20" w:rsidRPr="00C322F1">
        <w:rPr>
          <w:rFonts w:asciiTheme="minorBidi" w:eastAsia="Times New Roman" w:hAnsiTheme="minorBidi"/>
          <w:kern w:val="0"/>
          <w14:ligatures w14:val="none"/>
        </w:rPr>
        <w:t>or until</w:t>
      </w:r>
      <w:r w:rsidRPr="00C322F1">
        <w:rPr>
          <w:rFonts w:asciiTheme="minorBidi" w:eastAsia="Times New Roman" w:hAnsiTheme="minorBidi"/>
          <w:kern w:val="0"/>
          <w14:ligatures w14:val="none"/>
        </w:rPr>
        <w:t xml:space="preserve"> they obtain a new MiCA</w:t>
      </w:r>
      <w:r w:rsidR="00DF60C3"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license (whichever is sooner).  As a </w:t>
      </w:r>
      <w:r w:rsidR="00DF60C3" w:rsidRPr="00C322F1">
        <w:rPr>
          <w:rFonts w:asciiTheme="minorBidi" w:eastAsia="Times New Roman" w:hAnsiTheme="minorBidi"/>
          <w:kern w:val="0"/>
          <w14:ligatures w14:val="none"/>
        </w:rPr>
        <w:t>result,</w:t>
      </w:r>
      <w:r w:rsidRPr="00C322F1">
        <w:rPr>
          <w:rFonts w:asciiTheme="minorBidi" w:eastAsia="Times New Roman" w:hAnsiTheme="minorBidi"/>
          <w:kern w:val="0"/>
          <w14:ligatures w14:val="none"/>
        </w:rPr>
        <w:t xml:space="preserve"> Germany allows that CASPs under national German law can continue to operate based on their existing license until December 2025. </w:t>
      </w:r>
    </w:p>
    <w:p w14:paraId="4D49D774" w14:textId="4545DDCE" w:rsidR="000334CF" w:rsidRPr="00C322F1" w:rsidRDefault="000334CF" w:rsidP="00C322F1">
      <w:pPr>
        <w:jc w:val="both"/>
        <w:rPr>
          <w:rFonts w:asciiTheme="minorBidi" w:hAnsiTheme="minorBidi"/>
        </w:rPr>
      </w:pPr>
      <w:r w:rsidRPr="00C322F1">
        <w:rPr>
          <w:rFonts w:asciiTheme="minorBidi" w:hAnsiTheme="minorBidi"/>
        </w:rPr>
        <w:t>New unregulated CASPs will have to apply for a license under MiCA</w:t>
      </w:r>
      <w:r w:rsidR="00DF60C3" w:rsidRPr="00C322F1">
        <w:rPr>
          <w:rFonts w:asciiTheme="minorBidi" w:hAnsiTheme="minorBidi"/>
        </w:rPr>
        <w:t>R</w:t>
      </w:r>
      <w:r w:rsidRPr="00C322F1">
        <w:rPr>
          <w:rFonts w:asciiTheme="minorBidi" w:hAnsiTheme="minorBidi"/>
        </w:rPr>
        <w:t xml:space="preserve"> in order to start providing crypto services in the EU. </w:t>
      </w:r>
    </w:p>
    <w:p w14:paraId="2B83A66C" w14:textId="18D7EB19" w:rsidR="00C322F1" w:rsidRPr="00C322F1" w:rsidRDefault="00C322F1" w:rsidP="00C322F1">
      <w:pPr>
        <w:jc w:val="both"/>
        <w:rPr>
          <w:rFonts w:asciiTheme="minorBidi" w:hAnsiTheme="minorBidi"/>
        </w:rPr>
      </w:pPr>
      <w:r w:rsidRPr="00C322F1">
        <w:rPr>
          <w:rFonts w:asciiTheme="minorBidi" w:hAnsiTheme="minorBidi"/>
        </w:rPr>
        <w:t>Non-EU firms – Reverse Solicitation</w:t>
      </w:r>
    </w:p>
    <w:p w14:paraId="24DB5C9A" w14:textId="38397B2A" w:rsidR="000334CF" w:rsidRPr="00C322F1" w:rsidRDefault="000334CF" w:rsidP="00C322F1">
      <w:pPr>
        <w:jc w:val="both"/>
        <w:rPr>
          <w:rFonts w:asciiTheme="minorBidi" w:hAnsiTheme="minorBidi"/>
        </w:rPr>
      </w:pPr>
      <w:r w:rsidRPr="00C322F1">
        <w:rPr>
          <w:rFonts w:asciiTheme="minorBidi" w:hAnsiTheme="minorBidi"/>
        </w:rPr>
        <w:t>Persons or entities located in non-EU jurisdictions (e.g. in the US or UK) and wishing to actively promote and/or advertise their services to clients in the EU will have to obtain full authorization</w:t>
      </w:r>
      <w:r w:rsidR="00652D20">
        <w:rPr>
          <w:rFonts w:asciiTheme="minorBidi" w:hAnsiTheme="minorBidi"/>
        </w:rPr>
        <w:t xml:space="preserve">. </w:t>
      </w:r>
      <w:r w:rsidRPr="00C322F1">
        <w:rPr>
          <w:rFonts w:asciiTheme="minorBidi" w:hAnsiTheme="minorBidi"/>
        </w:rPr>
        <w:t xml:space="preserve">There is a very narrow exception for reverse </w:t>
      </w:r>
      <w:r w:rsidRPr="00C322F1">
        <w:rPr>
          <w:rFonts w:asciiTheme="minorBidi" w:hAnsiTheme="minorBidi"/>
        </w:rPr>
        <w:lastRenderedPageBreak/>
        <w:t>solicitation where non-EU firm</w:t>
      </w:r>
      <w:r w:rsidR="00DF60C3" w:rsidRPr="00C322F1">
        <w:rPr>
          <w:rFonts w:asciiTheme="minorBidi" w:hAnsiTheme="minorBidi"/>
        </w:rPr>
        <w:t>s may</w:t>
      </w:r>
      <w:r w:rsidRPr="00C322F1">
        <w:rPr>
          <w:rFonts w:asciiTheme="minorBidi" w:hAnsiTheme="minorBidi"/>
        </w:rPr>
        <w:t xml:space="preserve"> provide crypto asset services (without license) to a</w:t>
      </w:r>
      <w:r w:rsidR="00C322F1" w:rsidRPr="00C322F1">
        <w:rPr>
          <w:rFonts w:asciiTheme="minorBidi" w:hAnsiTheme="minorBidi"/>
        </w:rPr>
        <w:t>n</w:t>
      </w:r>
      <w:r w:rsidRPr="00C322F1">
        <w:rPr>
          <w:rFonts w:asciiTheme="minorBidi" w:hAnsiTheme="minorBidi"/>
        </w:rPr>
        <w:t xml:space="preserve"> EU Customer on the exclusive initiative of t</w:t>
      </w:r>
      <w:r w:rsidR="00055041" w:rsidRPr="00C322F1">
        <w:rPr>
          <w:rFonts w:asciiTheme="minorBidi" w:hAnsiTheme="minorBidi"/>
        </w:rPr>
        <w:t>his</w:t>
      </w:r>
      <w:r w:rsidRPr="00C322F1">
        <w:rPr>
          <w:rFonts w:asciiTheme="minorBidi" w:hAnsiTheme="minorBidi"/>
        </w:rPr>
        <w:t xml:space="preserve"> customer. </w:t>
      </w:r>
    </w:p>
    <w:p w14:paraId="0E7C4329" w14:textId="77777777" w:rsidR="000334CF" w:rsidRPr="00C322F1" w:rsidRDefault="000334CF" w:rsidP="00C322F1">
      <w:pPr>
        <w:spacing w:before="100" w:beforeAutospacing="1" w:after="100" w:afterAutospacing="1" w:line="240" w:lineRule="auto"/>
        <w:jc w:val="both"/>
        <w:outlineLvl w:val="3"/>
        <w:rPr>
          <w:rFonts w:asciiTheme="minorBidi" w:eastAsia="Times New Roman" w:hAnsiTheme="minorBidi"/>
          <w:b/>
          <w:bCs/>
          <w:kern w:val="0"/>
          <w14:ligatures w14:val="none"/>
        </w:rPr>
      </w:pPr>
      <w:r w:rsidRPr="00C322F1">
        <w:rPr>
          <w:rFonts w:asciiTheme="minorBidi" w:eastAsia="Times New Roman" w:hAnsiTheme="minorBidi"/>
          <w:b/>
          <w:bCs/>
          <w:kern w:val="0"/>
          <w14:ligatures w14:val="none"/>
        </w:rPr>
        <w:t>Conclusion</w:t>
      </w:r>
    </w:p>
    <w:p w14:paraId="50292CBF" w14:textId="0B7C1F32" w:rsidR="000334CF" w:rsidRPr="00C322F1" w:rsidRDefault="000334CF" w:rsidP="00C322F1">
      <w:pPr>
        <w:spacing w:before="100" w:beforeAutospacing="1" w:after="100" w:afterAutospacing="1" w:line="240" w:lineRule="auto"/>
        <w:jc w:val="both"/>
        <w:rPr>
          <w:rFonts w:asciiTheme="minorBidi" w:eastAsia="Times New Roman" w:hAnsiTheme="minorBidi"/>
          <w:kern w:val="0"/>
          <w14:ligatures w14:val="none"/>
        </w:rPr>
      </w:pPr>
      <w:r w:rsidRPr="00C322F1">
        <w:rPr>
          <w:rFonts w:asciiTheme="minorBidi" w:eastAsia="Times New Roman" w:hAnsiTheme="minorBidi"/>
          <w:kern w:val="0"/>
          <w14:ligatures w14:val="none"/>
        </w:rPr>
        <w:t>MiCA</w:t>
      </w:r>
      <w:r w:rsidR="00055041"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positions the EU as the leading jurisdiction with a comprehensive regulatory framework for crypto assets. With a single market of nearly 450 million people and clear rules for crypto operators, the EU is set to attract firms seeking to engage in the provision of crypto asset services on an international level. MiCA</w:t>
      </w:r>
      <w:r w:rsidR="00055041" w:rsidRPr="00C322F1">
        <w:rPr>
          <w:rFonts w:asciiTheme="minorBidi" w:eastAsia="Times New Roman" w:hAnsiTheme="minorBidi"/>
          <w:kern w:val="0"/>
          <w14:ligatures w14:val="none"/>
        </w:rPr>
        <w:t>R</w:t>
      </w:r>
      <w:r w:rsidRPr="00C322F1">
        <w:rPr>
          <w:rFonts w:asciiTheme="minorBidi" w:eastAsia="Times New Roman" w:hAnsiTheme="minorBidi"/>
          <w:kern w:val="0"/>
          <w14:ligatures w14:val="none"/>
        </w:rPr>
        <w:t xml:space="preserve"> not only enhances investor protection and market stability but also fosters innovation and growth in the digital finance sector.</w:t>
      </w:r>
    </w:p>
    <w:p w14:paraId="56A685B5" w14:textId="77777777" w:rsidR="000334CF" w:rsidRPr="00C322F1" w:rsidRDefault="000334CF" w:rsidP="00C322F1">
      <w:pPr>
        <w:jc w:val="both"/>
        <w:rPr>
          <w:rFonts w:asciiTheme="minorBidi" w:hAnsiTheme="minorBidi"/>
        </w:rPr>
      </w:pPr>
    </w:p>
    <w:p w14:paraId="0F9B4A67" w14:textId="77777777" w:rsidR="000334CF" w:rsidRPr="00C322F1" w:rsidRDefault="000334CF">
      <w:pPr>
        <w:rPr>
          <w:rFonts w:asciiTheme="minorBidi" w:hAnsiTheme="minorBidi"/>
        </w:rPr>
      </w:pPr>
    </w:p>
    <w:sectPr w:rsidR="000334CF" w:rsidRPr="00C322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E26A1"/>
    <w:multiLevelType w:val="hybridMultilevel"/>
    <w:tmpl w:val="4DE825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115028D"/>
    <w:multiLevelType w:val="multilevel"/>
    <w:tmpl w:val="31AA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1263397">
    <w:abstractNumId w:val="1"/>
  </w:num>
  <w:num w:numId="2" w16cid:durableId="141689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CF"/>
    <w:rsid w:val="000275FD"/>
    <w:rsid w:val="000334CF"/>
    <w:rsid w:val="00055041"/>
    <w:rsid w:val="000E6ACF"/>
    <w:rsid w:val="00173035"/>
    <w:rsid w:val="00250210"/>
    <w:rsid w:val="005075F5"/>
    <w:rsid w:val="00652D20"/>
    <w:rsid w:val="006A788C"/>
    <w:rsid w:val="00750F31"/>
    <w:rsid w:val="00AF5CCB"/>
    <w:rsid w:val="00C322F1"/>
    <w:rsid w:val="00CF6899"/>
    <w:rsid w:val="00DF60C3"/>
    <w:rsid w:val="00E62617"/>
    <w:rsid w:val="00ED68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61D4"/>
  <w15:chartTrackingRefBased/>
  <w15:docId w15:val="{D68F07FA-2C30-47F5-8F95-DB6E6453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4CF"/>
  </w:style>
  <w:style w:type="paragraph" w:styleId="Heading1">
    <w:name w:val="heading 1"/>
    <w:basedOn w:val="Normal"/>
    <w:next w:val="Normal"/>
    <w:link w:val="Heading1Char"/>
    <w:uiPriority w:val="9"/>
    <w:qFormat/>
    <w:rsid w:val="00033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4CF"/>
    <w:rPr>
      <w:rFonts w:eastAsiaTheme="majorEastAsia" w:cstheme="majorBidi"/>
      <w:color w:val="272727" w:themeColor="text1" w:themeTint="D8"/>
    </w:rPr>
  </w:style>
  <w:style w:type="paragraph" w:styleId="Title">
    <w:name w:val="Title"/>
    <w:basedOn w:val="Normal"/>
    <w:next w:val="Normal"/>
    <w:link w:val="TitleChar"/>
    <w:uiPriority w:val="10"/>
    <w:qFormat/>
    <w:rsid w:val="00033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4CF"/>
    <w:pPr>
      <w:spacing w:before="160"/>
      <w:jc w:val="center"/>
    </w:pPr>
    <w:rPr>
      <w:i/>
      <w:iCs/>
      <w:color w:val="404040" w:themeColor="text1" w:themeTint="BF"/>
    </w:rPr>
  </w:style>
  <w:style w:type="character" w:customStyle="1" w:styleId="QuoteChar">
    <w:name w:val="Quote Char"/>
    <w:basedOn w:val="DefaultParagraphFont"/>
    <w:link w:val="Quote"/>
    <w:uiPriority w:val="29"/>
    <w:rsid w:val="000334CF"/>
    <w:rPr>
      <w:i/>
      <w:iCs/>
      <w:color w:val="404040" w:themeColor="text1" w:themeTint="BF"/>
    </w:rPr>
  </w:style>
  <w:style w:type="paragraph" w:styleId="ListParagraph">
    <w:name w:val="List Paragraph"/>
    <w:basedOn w:val="Normal"/>
    <w:uiPriority w:val="34"/>
    <w:qFormat/>
    <w:rsid w:val="000334CF"/>
    <w:pPr>
      <w:ind w:left="720"/>
      <w:contextualSpacing/>
    </w:pPr>
  </w:style>
  <w:style w:type="character" w:styleId="IntenseEmphasis">
    <w:name w:val="Intense Emphasis"/>
    <w:basedOn w:val="DefaultParagraphFont"/>
    <w:uiPriority w:val="21"/>
    <w:qFormat/>
    <w:rsid w:val="000334CF"/>
    <w:rPr>
      <w:i/>
      <w:iCs/>
      <w:color w:val="0F4761" w:themeColor="accent1" w:themeShade="BF"/>
    </w:rPr>
  </w:style>
  <w:style w:type="paragraph" w:styleId="IntenseQuote">
    <w:name w:val="Intense Quote"/>
    <w:basedOn w:val="Normal"/>
    <w:next w:val="Normal"/>
    <w:link w:val="IntenseQuoteChar"/>
    <w:uiPriority w:val="30"/>
    <w:qFormat/>
    <w:rsid w:val="00033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4CF"/>
    <w:rPr>
      <w:i/>
      <w:iCs/>
      <w:color w:val="0F4761" w:themeColor="accent1" w:themeShade="BF"/>
    </w:rPr>
  </w:style>
  <w:style w:type="character" w:styleId="IntenseReference">
    <w:name w:val="Intense Reference"/>
    <w:basedOn w:val="DefaultParagraphFont"/>
    <w:uiPriority w:val="32"/>
    <w:qFormat/>
    <w:rsid w:val="000334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1765</Words>
  <Characters>9428</Characters>
  <Application>Microsoft Office Word</Application>
  <DocSecurity>0</DocSecurity>
  <Lines>167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Taic</dc:creator>
  <cp:keywords/>
  <dc:description/>
  <cp:lastModifiedBy>Judith Taic</cp:lastModifiedBy>
  <cp:revision>2</cp:revision>
  <cp:lastPrinted>2024-08-01T10:18:00Z</cp:lastPrinted>
  <dcterms:created xsi:type="dcterms:W3CDTF">2024-11-03T16:03:00Z</dcterms:created>
  <dcterms:modified xsi:type="dcterms:W3CDTF">2024-11-03T16:03:00Z</dcterms:modified>
</cp:coreProperties>
</file>