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DD781" w14:textId="43794ADC" w:rsidR="00DB4D5D" w:rsidRDefault="00DB4D5D" w:rsidP="00677F66">
      <w:pPr>
        <w:rPr>
          <w:rFonts w:asciiTheme="majorBidi" w:hAnsiTheme="majorBidi" w:cstheme="majorBidi"/>
          <w:b/>
          <w:bCs/>
          <w:sz w:val="28"/>
          <w:szCs w:val="28"/>
        </w:rPr>
      </w:pPr>
      <w:r>
        <w:rPr>
          <w:rFonts w:asciiTheme="majorBidi" w:hAnsiTheme="majorBidi" w:cstheme="majorBidi"/>
          <w:b/>
          <w:bCs/>
          <w:sz w:val="28"/>
          <w:szCs w:val="28"/>
        </w:rPr>
        <w:t>Book Review</w:t>
      </w:r>
    </w:p>
    <w:p w14:paraId="69312A1B" w14:textId="1B667406" w:rsidR="00677F66" w:rsidRPr="00782AB6" w:rsidRDefault="00677F66" w:rsidP="00677F66">
      <w:pPr>
        <w:rPr>
          <w:rFonts w:asciiTheme="majorBidi" w:hAnsiTheme="majorBidi" w:cstheme="majorBidi"/>
          <w:b/>
          <w:bCs/>
          <w:sz w:val="28"/>
          <w:szCs w:val="28"/>
        </w:rPr>
      </w:pPr>
      <w:r w:rsidRPr="00782AB6">
        <w:rPr>
          <w:rFonts w:asciiTheme="majorBidi" w:hAnsiTheme="majorBidi" w:cstheme="majorBidi"/>
          <w:b/>
          <w:bCs/>
          <w:sz w:val="28"/>
          <w:szCs w:val="28"/>
        </w:rPr>
        <w:t xml:space="preserve">Crypto Assets in </w:t>
      </w:r>
      <w:r w:rsidR="008855E2" w:rsidRPr="00782AB6">
        <w:rPr>
          <w:rFonts w:asciiTheme="majorBidi" w:hAnsiTheme="majorBidi" w:cstheme="majorBidi"/>
          <w:b/>
          <w:bCs/>
          <w:sz w:val="28"/>
          <w:szCs w:val="28"/>
        </w:rPr>
        <w:t>T</w:t>
      </w:r>
      <w:r w:rsidRPr="00782AB6">
        <w:rPr>
          <w:rFonts w:asciiTheme="majorBidi" w:hAnsiTheme="majorBidi" w:cstheme="majorBidi"/>
          <w:b/>
          <w:bCs/>
          <w:sz w:val="28"/>
          <w:szCs w:val="28"/>
        </w:rPr>
        <w:t>rusts and Foundations</w:t>
      </w:r>
    </w:p>
    <w:p w14:paraId="01480D52" w14:textId="1684DC65" w:rsidR="00DB4D5D" w:rsidRDefault="00DB4D5D" w:rsidP="000A0C6B">
      <w:pPr>
        <w:rPr>
          <w:rFonts w:asciiTheme="majorBidi" w:hAnsiTheme="majorBidi" w:cstheme="majorBidi"/>
          <w:b/>
          <w:bCs/>
        </w:rPr>
      </w:pPr>
      <w:r>
        <w:rPr>
          <w:rFonts w:asciiTheme="majorBidi" w:hAnsiTheme="majorBidi" w:cstheme="majorBidi"/>
          <w:b/>
          <w:bCs/>
        </w:rPr>
        <w:t>Dr. Judith Taic TEP</w:t>
      </w:r>
    </w:p>
    <w:p w14:paraId="7DDC06DC" w14:textId="77777777" w:rsidR="00DB4D5D" w:rsidRPr="00782AB6" w:rsidRDefault="00DB4D5D" w:rsidP="000A0C6B">
      <w:pPr>
        <w:rPr>
          <w:rFonts w:asciiTheme="majorBidi" w:hAnsiTheme="majorBidi" w:cstheme="majorBidi"/>
          <w:b/>
          <w:bCs/>
        </w:rPr>
      </w:pPr>
    </w:p>
    <w:p w14:paraId="2FB710E1" w14:textId="109BB794" w:rsidR="00677F66" w:rsidRPr="00782AB6" w:rsidRDefault="00D45028" w:rsidP="00677F66">
      <w:pPr>
        <w:pStyle w:val="ListParagraph"/>
        <w:numPr>
          <w:ilvl w:val="0"/>
          <w:numId w:val="1"/>
        </w:numPr>
        <w:rPr>
          <w:rFonts w:asciiTheme="majorBidi" w:hAnsiTheme="majorBidi" w:cstheme="majorBidi"/>
          <w:b/>
          <w:bCs/>
          <w:sz w:val="28"/>
          <w:szCs w:val="28"/>
        </w:rPr>
      </w:pPr>
      <w:r w:rsidRPr="00782AB6">
        <w:rPr>
          <w:rFonts w:asciiTheme="majorBidi" w:hAnsiTheme="majorBidi" w:cstheme="majorBidi"/>
          <w:b/>
          <w:bCs/>
          <w:sz w:val="28"/>
          <w:szCs w:val="28"/>
        </w:rPr>
        <w:t>Introduction: Purpose and Scope</w:t>
      </w:r>
    </w:p>
    <w:p w14:paraId="1D0F48EE" w14:textId="77777777" w:rsidR="00677F66" w:rsidRPr="00782AB6" w:rsidRDefault="00677F66" w:rsidP="000A0C6B">
      <w:pPr>
        <w:pStyle w:val="NormalWeb"/>
        <w:jc w:val="both"/>
        <w:rPr>
          <w:rFonts w:asciiTheme="majorBidi" w:hAnsiTheme="majorBidi" w:cstheme="majorBidi"/>
        </w:rPr>
      </w:pPr>
      <w:r w:rsidRPr="00782AB6">
        <w:rPr>
          <w:rStyle w:val="Emphasis"/>
          <w:rFonts w:asciiTheme="majorBidi" w:eastAsiaTheme="majorEastAsia" w:hAnsiTheme="majorBidi" w:cstheme="majorBidi"/>
        </w:rPr>
        <w:t>Crypto Assets in Trusts and Foundations</w:t>
      </w:r>
      <w:r w:rsidRPr="00782AB6">
        <w:rPr>
          <w:rFonts w:asciiTheme="majorBidi" w:hAnsiTheme="majorBidi" w:cstheme="majorBidi"/>
        </w:rPr>
        <w:t xml:space="preserve"> addresses the growing reality that trustees and foundation board members can no longer ignore cryptocurrency as an asset class. While concerns about AML risks, cyber threats, and volatility remain, the book emphasizes that crypto is here to stay, as more individuals and businesses seek to buy, trade, or use it, and governments introduce regulations to monitor and control crypto markets. The book is not just a guide for trustees or foundation boards but for everyone in wealth management who wants to understand the topic of crypto held by trusts or foundations. It provides a practical guide covering the legal, tax, and regulatory aspects, equipping professionals with the essential knowledge to manage this evolving asset securely and effectively.</w:t>
      </w:r>
    </w:p>
    <w:p w14:paraId="28A9C302" w14:textId="6D977357" w:rsidR="007A09D3" w:rsidRPr="00782AB6" w:rsidRDefault="007A09D3" w:rsidP="007A09D3">
      <w:pPr>
        <w:pStyle w:val="ListParagraph"/>
        <w:numPr>
          <w:ilvl w:val="0"/>
          <w:numId w:val="1"/>
        </w:numPr>
        <w:spacing w:before="100" w:beforeAutospacing="1" w:after="100" w:afterAutospacing="1" w:line="240" w:lineRule="auto"/>
        <w:outlineLvl w:val="2"/>
        <w:rPr>
          <w:rFonts w:asciiTheme="majorBidi" w:eastAsia="Times New Roman" w:hAnsiTheme="majorBidi" w:cstheme="majorBidi"/>
          <w:b/>
          <w:bCs/>
          <w:kern w:val="0"/>
          <w:sz w:val="28"/>
          <w:szCs w:val="28"/>
          <w14:ligatures w14:val="none"/>
        </w:rPr>
      </w:pPr>
      <w:r w:rsidRPr="00782AB6">
        <w:rPr>
          <w:rFonts w:asciiTheme="majorBidi" w:eastAsia="Times New Roman" w:hAnsiTheme="majorBidi" w:cstheme="majorBidi"/>
          <w:b/>
          <w:bCs/>
          <w:kern w:val="0"/>
          <w:sz w:val="28"/>
          <w:szCs w:val="28"/>
          <w14:ligatures w14:val="none"/>
        </w:rPr>
        <w:t xml:space="preserve">Structure </w:t>
      </w:r>
      <w:r w:rsidR="00642AE3" w:rsidRPr="00782AB6">
        <w:rPr>
          <w:rFonts w:asciiTheme="majorBidi" w:eastAsia="Times New Roman" w:hAnsiTheme="majorBidi" w:cstheme="majorBidi"/>
          <w:b/>
          <w:bCs/>
          <w:kern w:val="0"/>
          <w:sz w:val="28"/>
          <w:szCs w:val="28"/>
          <w14:ligatures w14:val="none"/>
        </w:rPr>
        <w:t>And Approach</w:t>
      </w:r>
    </w:p>
    <w:p w14:paraId="13AAE9CA" w14:textId="77777777" w:rsidR="007A09D3" w:rsidRPr="007A09D3" w:rsidRDefault="007A09D3" w:rsidP="000A0C6B">
      <w:pPr>
        <w:spacing w:before="100" w:beforeAutospacing="1" w:after="100" w:afterAutospacing="1" w:line="240" w:lineRule="auto"/>
        <w:jc w:val="both"/>
        <w:rPr>
          <w:rFonts w:asciiTheme="majorBidi" w:eastAsia="Times New Roman" w:hAnsiTheme="majorBidi" w:cstheme="majorBidi"/>
          <w:kern w:val="0"/>
          <w14:ligatures w14:val="none"/>
        </w:rPr>
      </w:pPr>
      <w:r w:rsidRPr="007A09D3">
        <w:rPr>
          <w:rFonts w:asciiTheme="majorBidi" w:eastAsia="Times New Roman" w:hAnsiTheme="majorBidi" w:cstheme="majorBidi"/>
          <w:kern w:val="0"/>
          <w14:ligatures w14:val="none"/>
        </w:rPr>
        <w:t>The book is thoughtfully structured, with Consulting Editors Niklas Schmidt and Ross Belhomme providing a well-organized and insightful framework. The introduction effectively sets the tone by outlining key objectives and highlighting the risks trustees face when managing crypto assets. Ross Belhomme offers a compelling analysis of whether crypto qualifies as property for trusts and explains essential crypto concepts, including tokens, wallets, smart contracts, mining, staking, custody, trustee powers, and compliance with CRS, FATCA, and AML regulations.</w:t>
      </w:r>
    </w:p>
    <w:p w14:paraId="1ED7977E" w14:textId="77777777" w:rsidR="007A09D3" w:rsidRPr="007A09D3" w:rsidRDefault="007A09D3" w:rsidP="000A0C6B">
      <w:pPr>
        <w:spacing w:before="100" w:beforeAutospacing="1" w:after="100" w:afterAutospacing="1" w:line="240" w:lineRule="auto"/>
        <w:jc w:val="both"/>
        <w:rPr>
          <w:rFonts w:asciiTheme="majorBidi" w:eastAsia="Times New Roman" w:hAnsiTheme="majorBidi" w:cstheme="majorBidi"/>
          <w:kern w:val="0"/>
          <w14:ligatures w14:val="none"/>
        </w:rPr>
      </w:pPr>
      <w:r w:rsidRPr="007A09D3">
        <w:rPr>
          <w:rFonts w:asciiTheme="majorBidi" w:eastAsia="Times New Roman" w:hAnsiTheme="majorBidi" w:cstheme="majorBidi"/>
          <w:kern w:val="0"/>
          <w14:ligatures w14:val="none"/>
        </w:rPr>
        <w:t>To ensure a consistent analysis, contributors from 20 jurisdictions responded to 11 key legal, regulatory, and tax questions related to holding crypto in trusts and foundations. These questions cover the legal classification of crypto assets, relevant laws, inheritance planning, custody options, AML requirements, taxation of transfers and trading, wealth taxation, and documentation requirements.</w:t>
      </w:r>
    </w:p>
    <w:p w14:paraId="4FDB7D96" w14:textId="77777777" w:rsidR="007A09D3" w:rsidRPr="007A09D3" w:rsidRDefault="007A09D3" w:rsidP="000A0C6B">
      <w:pPr>
        <w:spacing w:before="100" w:beforeAutospacing="1" w:after="100" w:afterAutospacing="1" w:line="240" w:lineRule="auto"/>
        <w:jc w:val="both"/>
        <w:rPr>
          <w:rFonts w:asciiTheme="majorBidi" w:eastAsia="Times New Roman" w:hAnsiTheme="majorBidi" w:cstheme="majorBidi"/>
          <w:kern w:val="0"/>
          <w14:ligatures w14:val="none"/>
        </w:rPr>
      </w:pPr>
      <w:r w:rsidRPr="007A09D3">
        <w:rPr>
          <w:rFonts w:asciiTheme="majorBidi" w:eastAsia="Times New Roman" w:hAnsiTheme="majorBidi" w:cstheme="majorBidi"/>
          <w:kern w:val="0"/>
          <w14:ligatures w14:val="none"/>
        </w:rPr>
        <w:t xml:space="preserve">For this review, jurisdictions are grouped into </w:t>
      </w:r>
      <w:r w:rsidRPr="007A09D3">
        <w:rPr>
          <w:rFonts w:asciiTheme="majorBidi" w:eastAsia="Times New Roman" w:hAnsiTheme="majorBidi" w:cstheme="majorBidi"/>
          <w:b/>
          <w:bCs/>
          <w:kern w:val="0"/>
          <w14:ligatures w14:val="none"/>
        </w:rPr>
        <w:t>c</w:t>
      </w:r>
      <w:r w:rsidRPr="007A09D3">
        <w:rPr>
          <w:rFonts w:asciiTheme="majorBidi" w:eastAsia="Times New Roman" w:hAnsiTheme="majorBidi" w:cstheme="majorBidi"/>
          <w:kern w:val="0"/>
          <w14:ligatures w14:val="none"/>
        </w:rPr>
        <w:t>ommon law, civil law, and mixed systems. Common law jurisdictions—such as England and Wales, the Bahamas, Bermuda, BVI, Canada, Cayman Islands, Guernsey, Isle of Man, New Zealand, Singapore, and Wyoming—have a strong trust tradition, making them well-suited for holding crypto within trust structures. Civil law jurisdictions—including Austria, Belgium, Cyprus, Liechtenstein, Malta, Monaco, Netherlands, Panama, and Switzerland—typically do not recognize trusts and instead rely on foundations or other structures for asset holding and succession planning. Mixed jurisdictions like Malta and Monaco incorporate elements of both legal traditions, allowing for greater flexibility in adapting trust and foundation structures to crypto assets.</w:t>
      </w:r>
    </w:p>
    <w:p w14:paraId="090A88A9" w14:textId="7D0023BA" w:rsidR="007A09D3" w:rsidRPr="00DB4D5D" w:rsidRDefault="007A09D3" w:rsidP="00DB4D5D">
      <w:pPr>
        <w:spacing w:before="100" w:beforeAutospacing="1" w:after="100" w:afterAutospacing="1" w:line="240" w:lineRule="auto"/>
        <w:jc w:val="both"/>
        <w:rPr>
          <w:rFonts w:asciiTheme="majorBidi" w:eastAsia="Times New Roman" w:hAnsiTheme="majorBidi" w:cstheme="majorBidi"/>
          <w:kern w:val="0"/>
          <w14:ligatures w14:val="none"/>
        </w:rPr>
      </w:pPr>
      <w:r w:rsidRPr="007A09D3">
        <w:rPr>
          <w:rFonts w:asciiTheme="majorBidi" w:eastAsia="Times New Roman" w:hAnsiTheme="majorBidi" w:cstheme="majorBidi"/>
          <w:kern w:val="0"/>
          <w14:ligatures w14:val="none"/>
        </w:rPr>
        <w:lastRenderedPageBreak/>
        <w:t>This review first examines common law jurisdictions, given their similar trust-based approach, followed by civil law jurisdictions, where alternative structures are used.</w:t>
      </w:r>
    </w:p>
    <w:p w14:paraId="18AC1023" w14:textId="7DC85308" w:rsidR="007A09D3" w:rsidRPr="007A09D3" w:rsidRDefault="007A09D3" w:rsidP="00FF1855">
      <w:pPr>
        <w:spacing w:before="100" w:beforeAutospacing="1" w:after="100" w:afterAutospacing="1" w:line="240" w:lineRule="auto"/>
        <w:outlineLvl w:val="2"/>
        <w:rPr>
          <w:rFonts w:asciiTheme="majorBidi" w:eastAsia="Times New Roman" w:hAnsiTheme="majorBidi" w:cstheme="majorBidi"/>
          <w:b/>
          <w:bCs/>
          <w:kern w:val="0"/>
          <w:sz w:val="28"/>
          <w:szCs w:val="28"/>
          <w14:ligatures w14:val="none"/>
        </w:rPr>
      </w:pPr>
      <w:r w:rsidRPr="00782AB6">
        <w:rPr>
          <w:rFonts w:asciiTheme="majorBidi" w:eastAsia="Times New Roman" w:hAnsiTheme="majorBidi" w:cstheme="majorBidi"/>
          <w:b/>
          <w:bCs/>
          <w:kern w:val="0"/>
          <w:sz w:val="27"/>
          <w:szCs w:val="27"/>
          <w14:ligatures w14:val="none"/>
        </w:rPr>
        <w:t xml:space="preserve">C. </w:t>
      </w:r>
      <w:r w:rsidR="00FF1855" w:rsidRPr="007120C9">
        <w:rPr>
          <w:rFonts w:asciiTheme="majorBidi" w:eastAsia="Times New Roman" w:hAnsiTheme="majorBidi" w:cstheme="majorBidi"/>
          <w:b/>
          <w:bCs/>
          <w:kern w:val="0"/>
          <w:sz w:val="28"/>
          <w:szCs w:val="28"/>
          <w14:ligatures w14:val="none"/>
        </w:rPr>
        <w:t xml:space="preserve">Crypto Holdings in Trusts and Foundations: </w:t>
      </w:r>
      <w:r w:rsidR="00FF1855" w:rsidRPr="00782AB6">
        <w:rPr>
          <w:rFonts w:asciiTheme="majorBidi" w:eastAsia="Times New Roman" w:hAnsiTheme="majorBidi" w:cstheme="majorBidi"/>
          <w:b/>
          <w:bCs/>
          <w:kern w:val="0"/>
          <w:sz w:val="28"/>
          <w:szCs w:val="28"/>
          <w14:ligatures w14:val="none"/>
        </w:rPr>
        <w:t>Common</w:t>
      </w:r>
      <w:r w:rsidR="00FF1855" w:rsidRPr="007120C9">
        <w:rPr>
          <w:rFonts w:asciiTheme="majorBidi" w:eastAsia="Times New Roman" w:hAnsiTheme="majorBidi" w:cstheme="majorBidi"/>
          <w:b/>
          <w:bCs/>
          <w:kern w:val="0"/>
          <w:sz w:val="28"/>
          <w:szCs w:val="28"/>
          <w14:ligatures w14:val="none"/>
        </w:rPr>
        <w:t xml:space="preserve"> Law Perspectives</w:t>
      </w:r>
    </w:p>
    <w:p w14:paraId="1BF3CB2F" w14:textId="726E8630" w:rsidR="007A09D3" w:rsidRPr="007A09D3" w:rsidRDefault="007A09D3" w:rsidP="000A0C6B">
      <w:pPr>
        <w:spacing w:before="100" w:beforeAutospacing="1" w:after="100" w:afterAutospacing="1" w:line="240" w:lineRule="auto"/>
        <w:jc w:val="both"/>
        <w:outlineLvl w:val="3"/>
        <w:rPr>
          <w:rFonts w:asciiTheme="majorBidi" w:eastAsia="Times New Roman" w:hAnsiTheme="majorBidi" w:cstheme="majorBidi"/>
          <w:b/>
          <w:bCs/>
          <w:kern w:val="0"/>
          <w14:ligatures w14:val="none"/>
        </w:rPr>
      </w:pPr>
      <w:r w:rsidRPr="007A09D3">
        <w:rPr>
          <w:rFonts w:asciiTheme="majorBidi" w:eastAsia="Times New Roman" w:hAnsiTheme="majorBidi" w:cstheme="majorBidi"/>
          <w:b/>
          <w:bCs/>
          <w:kern w:val="0"/>
          <w14:ligatures w14:val="none"/>
        </w:rPr>
        <w:t>Legal Status of Crypto Assets</w:t>
      </w:r>
    </w:p>
    <w:p w14:paraId="72C693F3" w14:textId="2C387CF0" w:rsidR="007A09D3" w:rsidRPr="007A09D3" w:rsidRDefault="007A09D3" w:rsidP="000A0C6B">
      <w:pPr>
        <w:spacing w:before="100" w:beforeAutospacing="1" w:after="100" w:afterAutospacing="1" w:line="240" w:lineRule="auto"/>
        <w:jc w:val="both"/>
        <w:rPr>
          <w:rFonts w:asciiTheme="majorBidi" w:eastAsia="Times New Roman" w:hAnsiTheme="majorBidi" w:cstheme="majorBidi"/>
          <w:kern w:val="0"/>
          <w14:ligatures w14:val="none"/>
        </w:rPr>
      </w:pPr>
      <w:r w:rsidRPr="007A09D3">
        <w:rPr>
          <w:rFonts w:asciiTheme="majorBidi" w:eastAsia="Times New Roman" w:hAnsiTheme="majorBidi" w:cstheme="majorBidi"/>
          <w:kern w:val="0"/>
          <w14:ligatures w14:val="none"/>
        </w:rPr>
        <w:t xml:space="preserve">A key issue is whether crypto assets qualify as property or confer </w:t>
      </w:r>
      <w:r w:rsidR="00845C0B" w:rsidRPr="00782AB6">
        <w:rPr>
          <w:rFonts w:asciiTheme="majorBidi" w:eastAsia="Times New Roman" w:hAnsiTheme="majorBidi" w:cstheme="majorBidi"/>
          <w:kern w:val="0"/>
          <w14:ligatures w14:val="none"/>
        </w:rPr>
        <w:t>ownership</w:t>
      </w:r>
      <w:r w:rsidRPr="007A09D3">
        <w:rPr>
          <w:rFonts w:asciiTheme="majorBidi" w:eastAsia="Times New Roman" w:hAnsiTheme="majorBidi" w:cstheme="majorBidi"/>
          <w:kern w:val="0"/>
          <w14:ligatures w14:val="none"/>
        </w:rPr>
        <w:t xml:space="preserve"> rights, </w:t>
      </w:r>
      <w:r w:rsidR="00845C0B" w:rsidRPr="00782AB6">
        <w:rPr>
          <w:rFonts w:asciiTheme="majorBidi" w:eastAsia="Times New Roman" w:hAnsiTheme="majorBidi" w:cstheme="majorBidi"/>
          <w:kern w:val="0"/>
          <w14:ligatures w14:val="none"/>
        </w:rPr>
        <w:t>affecting</w:t>
      </w:r>
      <w:r w:rsidRPr="007A09D3">
        <w:rPr>
          <w:rFonts w:asciiTheme="majorBidi" w:eastAsia="Times New Roman" w:hAnsiTheme="majorBidi" w:cstheme="majorBidi"/>
          <w:kern w:val="0"/>
          <w14:ligatures w14:val="none"/>
        </w:rPr>
        <w:t xml:space="preserve"> their ability to be held in trust, inherited, or enforced against third parties. Nearly all common law jurisdictions reference English legal principles, particularly the criteria set by Lord Wilberforce in </w:t>
      </w:r>
      <w:r w:rsidRPr="007A09D3">
        <w:rPr>
          <w:rFonts w:asciiTheme="majorBidi" w:eastAsia="Times New Roman" w:hAnsiTheme="majorBidi" w:cstheme="majorBidi"/>
          <w:i/>
          <w:iCs/>
          <w:kern w:val="0"/>
          <w14:ligatures w14:val="none"/>
        </w:rPr>
        <w:t>Provincial Bank v. Ainsworth</w:t>
      </w:r>
      <w:r w:rsidR="00B52F48" w:rsidRPr="00782AB6">
        <w:rPr>
          <w:rStyle w:val="FootnoteReference"/>
          <w:rFonts w:asciiTheme="majorBidi" w:eastAsia="Times New Roman" w:hAnsiTheme="majorBidi" w:cstheme="majorBidi"/>
          <w:i/>
          <w:iCs/>
          <w:kern w:val="0"/>
          <w14:ligatures w14:val="none"/>
        </w:rPr>
        <w:footnoteReference w:id="1"/>
      </w:r>
      <w:r w:rsidRPr="007A09D3">
        <w:rPr>
          <w:rFonts w:asciiTheme="majorBidi" w:eastAsia="Times New Roman" w:hAnsiTheme="majorBidi" w:cstheme="majorBidi"/>
          <w:kern w:val="0"/>
          <w14:ligatures w14:val="none"/>
        </w:rPr>
        <w:t xml:space="preserve">, which define property as definable, identifiable by third parties, capable of assumption, and having some permanence. Additionally, English law traditionally classifies property as either a </w:t>
      </w:r>
      <w:r w:rsidRPr="007A09D3">
        <w:rPr>
          <w:rFonts w:asciiTheme="majorBidi" w:eastAsia="Times New Roman" w:hAnsiTheme="majorBidi" w:cstheme="majorBidi"/>
          <w:i/>
          <w:iCs/>
          <w:kern w:val="0"/>
          <w14:ligatures w14:val="none"/>
        </w:rPr>
        <w:t>chose in possession</w:t>
      </w:r>
      <w:r w:rsidRPr="007A09D3">
        <w:rPr>
          <w:rFonts w:asciiTheme="majorBidi" w:eastAsia="Times New Roman" w:hAnsiTheme="majorBidi" w:cstheme="majorBidi"/>
          <w:kern w:val="0"/>
          <w14:ligatures w14:val="none"/>
        </w:rPr>
        <w:t xml:space="preserve"> (tangible) or a </w:t>
      </w:r>
      <w:r w:rsidRPr="007A09D3">
        <w:rPr>
          <w:rFonts w:asciiTheme="majorBidi" w:eastAsia="Times New Roman" w:hAnsiTheme="majorBidi" w:cstheme="majorBidi"/>
          <w:i/>
          <w:iCs/>
          <w:kern w:val="0"/>
          <w14:ligatures w14:val="none"/>
        </w:rPr>
        <w:t>chose in action</w:t>
      </w:r>
      <w:r w:rsidRPr="007A09D3">
        <w:rPr>
          <w:rFonts w:asciiTheme="majorBidi" w:eastAsia="Times New Roman" w:hAnsiTheme="majorBidi" w:cstheme="majorBidi"/>
          <w:kern w:val="0"/>
          <w14:ligatures w14:val="none"/>
        </w:rPr>
        <w:t xml:space="preserve"> (intangible rights), as established in </w:t>
      </w:r>
      <w:r w:rsidRPr="007A09D3">
        <w:rPr>
          <w:rFonts w:asciiTheme="majorBidi" w:eastAsia="Times New Roman" w:hAnsiTheme="majorBidi" w:cstheme="majorBidi"/>
          <w:i/>
          <w:iCs/>
          <w:kern w:val="0"/>
          <w14:ligatures w14:val="none"/>
        </w:rPr>
        <w:t>Colonial Bank v. Whinney</w:t>
      </w:r>
      <w:r w:rsidRPr="007A09D3">
        <w:rPr>
          <w:rFonts w:asciiTheme="majorBidi" w:eastAsia="Times New Roman" w:hAnsiTheme="majorBidi" w:cstheme="majorBidi"/>
          <w:kern w:val="0"/>
          <w14:ligatures w14:val="none"/>
        </w:rPr>
        <w:t xml:space="preserve"> (also cited by Ross Belhomme).</w:t>
      </w:r>
    </w:p>
    <w:p w14:paraId="4726D53A" w14:textId="79EBBBA0" w:rsidR="007A09D3" w:rsidRPr="007A09D3" w:rsidRDefault="007A09D3" w:rsidP="000A0C6B">
      <w:pPr>
        <w:spacing w:before="100" w:beforeAutospacing="1" w:after="100" w:afterAutospacing="1" w:line="240" w:lineRule="auto"/>
        <w:jc w:val="both"/>
        <w:rPr>
          <w:rFonts w:asciiTheme="majorBidi" w:eastAsia="Times New Roman" w:hAnsiTheme="majorBidi" w:cstheme="majorBidi"/>
          <w:kern w:val="0"/>
          <w14:ligatures w14:val="none"/>
        </w:rPr>
      </w:pPr>
      <w:r w:rsidRPr="007A09D3">
        <w:rPr>
          <w:rFonts w:asciiTheme="majorBidi" w:eastAsia="Times New Roman" w:hAnsiTheme="majorBidi" w:cstheme="majorBidi"/>
          <w:kern w:val="0"/>
          <w14:ligatures w14:val="none"/>
        </w:rPr>
        <w:t>Reports from the Cayman Islands, England and Wales, Guernsey, BVI, Singapore, New Zealand, Isle of Man, Canada, Bermuda, and Wyoming confirm reliance on these legal principles, which hold persuasive authority in their courts. The New Zealand report</w:t>
      </w:r>
      <w:r w:rsidR="008855E2" w:rsidRPr="00782AB6">
        <w:rPr>
          <w:rStyle w:val="FootnoteReference"/>
          <w:rFonts w:asciiTheme="majorBidi" w:eastAsia="Times New Roman" w:hAnsiTheme="majorBidi" w:cstheme="majorBidi"/>
          <w:kern w:val="0"/>
          <w14:ligatures w14:val="none"/>
        </w:rPr>
        <w:footnoteReference w:id="2"/>
      </w:r>
      <w:r w:rsidRPr="007A09D3">
        <w:rPr>
          <w:rFonts w:asciiTheme="majorBidi" w:eastAsia="Times New Roman" w:hAnsiTheme="majorBidi" w:cstheme="majorBidi"/>
          <w:kern w:val="0"/>
          <w14:ligatures w14:val="none"/>
        </w:rPr>
        <w:t xml:space="preserve"> discusses the application of these principles in </w:t>
      </w:r>
      <w:r w:rsidRPr="007A09D3">
        <w:rPr>
          <w:rFonts w:asciiTheme="majorBidi" w:eastAsia="Times New Roman" w:hAnsiTheme="majorBidi" w:cstheme="majorBidi"/>
          <w:i/>
          <w:iCs/>
          <w:kern w:val="0"/>
          <w14:ligatures w14:val="none"/>
        </w:rPr>
        <w:t>Ruscoe v. Cryptopia</w:t>
      </w:r>
      <w:r w:rsidRPr="007A09D3">
        <w:rPr>
          <w:rFonts w:asciiTheme="majorBidi" w:eastAsia="Times New Roman" w:hAnsiTheme="majorBidi" w:cstheme="majorBidi"/>
          <w:kern w:val="0"/>
          <w14:ligatures w14:val="none"/>
        </w:rPr>
        <w:t xml:space="preserve">, referencing Lord Wilberforce’s criteria. The BVI review by Harneys highlights the </w:t>
      </w:r>
      <w:r w:rsidRPr="007A09D3">
        <w:rPr>
          <w:rFonts w:asciiTheme="majorBidi" w:eastAsia="Times New Roman" w:hAnsiTheme="majorBidi" w:cstheme="majorBidi"/>
          <w:i/>
          <w:iCs/>
          <w:kern w:val="0"/>
          <w14:ligatures w14:val="none"/>
        </w:rPr>
        <w:t>Torque Group Holdings</w:t>
      </w:r>
      <w:r w:rsidRPr="007A09D3">
        <w:rPr>
          <w:rFonts w:asciiTheme="majorBidi" w:eastAsia="Times New Roman" w:hAnsiTheme="majorBidi" w:cstheme="majorBidi"/>
          <w:kern w:val="0"/>
          <w14:ligatures w14:val="none"/>
        </w:rPr>
        <w:t xml:space="preserve"> case, reinforcing these definitions. In Bermuda, the report cites </w:t>
      </w:r>
      <w:r w:rsidRPr="007A09D3">
        <w:rPr>
          <w:rFonts w:asciiTheme="majorBidi" w:eastAsia="Times New Roman" w:hAnsiTheme="majorBidi" w:cstheme="majorBidi"/>
          <w:i/>
          <w:iCs/>
          <w:kern w:val="0"/>
          <w14:ligatures w14:val="none"/>
        </w:rPr>
        <w:t>AA v. Persons Unknown</w:t>
      </w:r>
      <w:r w:rsidRPr="007A09D3">
        <w:rPr>
          <w:rFonts w:asciiTheme="majorBidi" w:eastAsia="Times New Roman" w:hAnsiTheme="majorBidi" w:cstheme="majorBidi"/>
          <w:kern w:val="0"/>
          <w14:ligatures w14:val="none"/>
        </w:rPr>
        <w:t>, where the court recognized Bitcoin and similar cryptocurrencies as property.</w:t>
      </w:r>
    </w:p>
    <w:p w14:paraId="28AFC713" w14:textId="09265BFC" w:rsidR="00677F66" w:rsidRPr="00782AB6" w:rsidRDefault="007A09D3" w:rsidP="000A0C6B">
      <w:pPr>
        <w:spacing w:before="100" w:beforeAutospacing="1" w:after="100" w:afterAutospacing="1" w:line="240" w:lineRule="auto"/>
        <w:jc w:val="both"/>
        <w:rPr>
          <w:rFonts w:asciiTheme="majorBidi" w:eastAsia="Times New Roman" w:hAnsiTheme="majorBidi" w:cstheme="majorBidi"/>
          <w:kern w:val="0"/>
          <w14:ligatures w14:val="none"/>
        </w:rPr>
      </w:pPr>
      <w:r w:rsidRPr="007A09D3">
        <w:rPr>
          <w:rFonts w:asciiTheme="majorBidi" w:eastAsia="Times New Roman" w:hAnsiTheme="majorBidi" w:cstheme="majorBidi"/>
          <w:kern w:val="0"/>
          <w14:ligatures w14:val="none"/>
        </w:rPr>
        <w:t>Although crypto does not fit neatly into traditional property categories, most common law jurisdictions either recognize it as property or have indicated they will, demonstrating the continued influence of English law in shaping their legal frameworks</w:t>
      </w:r>
      <w:r w:rsidRPr="00782AB6">
        <w:rPr>
          <w:rFonts w:asciiTheme="majorBidi" w:eastAsia="Times New Roman" w:hAnsiTheme="majorBidi" w:cstheme="majorBidi"/>
          <w:kern w:val="0"/>
          <w14:ligatures w14:val="none"/>
        </w:rPr>
        <w:t xml:space="preserve">. </w:t>
      </w:r>
    </w:p>
    <w:p w14:paraId="613C5020" w14:textId="32A1F1A5" w:rsidR="00FF1855" w:rsidRPr="00377B79" w:rsidRDefault="00FF1855" w:rsidP="000A0C6B">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377B79">
        <w:rPr>
          <w:rFonts w:asciiTheme="majorBidi" w:eastAsia="Times New Roman" w:hAnsiTheme="majorBidi" w:cstheme="majorBidi"/>
          <w:b/>
          <w:bCs/>
          <w:kern w:val="0"/>
          <w14:ligatures w14:val="none"/>
        </w:rPr>
        <w:t>Inheritance Issues in</w:t>
      </w:r>
      <w:r w:rsidRPr="00782AB6">
        <w:rPr>
          <w:rFonts w:asciiTheme="majorBidi" w:eastAsia="Times New Roman" w:hAnsiTheme="majorBidi" w:cstheme="majorBidi"/>
          <w:b/>
          <w:bCs/>
          <w:kern w:val="0"/>
          <w14:ligatures w14:val="none"/>
        </w:rPr>
        <w:t xml:space="preserve"> Common Law Jurisdictions</w:t>
      </w:r>
    </w:p>
    <w:p w14:paraId="37C7B988" w14:textId="77777777" w:rsidR="00B6478F" w:rsidRPr="00782AB6" w:rsidRDefault="00B6478F" w:rsidP="000A0C6B">
      <w:pPr>
        <w:spacing w:before="100" w:beforeAutospacing="1" w:after="100" w:afterAutospacing="1" w:line="240" w:lineRule="auto"/>
        <w:jc w:val="both"/>
        <w:rPr>
          <w:rFonts w:asciiTheme="majorBidi" w:eastAsia="Times New Roman" w:hAnsiTheme="majorBidi" w:cstheme="majorBidi"/>
          <w:kern w:val="0"/>
          <w14:ligatures w14:val="none"/>
        </w:rPr>
      </w:pPr>
      <w:r w:rsidRPr="00782AB6">
        <w:rPr>
          <w:rFonts w:asciiTheme="majorBidi" w:eastAsia="Times New Roman" w:hAnsiTheme="majorBidi" w:cstheme="majorBidi"/>
          <w:kern w:val="0"/>
          <w14:ligatures w14:val="none"/>
        </w:rPr>
        <w:t>When addressing the legal and practical challenges of inheriting crypto assets, almost all common law jurisdictions highlight three fundamental questions: how to determine whether the deceased owned crypto, how to access those assets if ownership is known, and which succession law applies in cross-border cases.</w:t>
      </w:r>
    </w:p>
    <w:p w14:paraId="0425768B" w14:textId="64D7280F" w:rsidR="00B6478F" w:rsidRPr="00782AB6" w:rsidRDefault="00B6478F" w:rsidP="000A0C6B">
      <w:pPr>
        <w:spacing w:before="100" w:beforeAutospacing="1" w:after="100" w:afterAutospacing="1" w:line="240" w:lineRule="auto"/>
        <w:jc w:val="both"/>
        <w:rPr>
          <w:rFonts w:asciiTheme="majorBidi" w:eastAsia="Times New Roman" w:hAnsiTheme="majorBidi" w:cstheme="majorBidi"/>
          <w:kern w:val="0"/>
          <w14:ligatures w14:val="none"/>
        </w:rPr>
      </w:pPr>
      <w:r w:rsidRPr="00782AB6">
        <w:rPr>
          <w:rFonts w:asciiTheme="majorBidi" w:eastAsia="Times New Roman" w:hAnsiTheme="majorBidi" w:cstheme="majorBidi"/>
          <w:kern w:val="0"/>
          <w14:ligatures w14:val="none"/>
        </w:rPr>
        <w:t>The first major issue arises from the absence of a central authority to verify a deceased individual's crypto holdings. Unlike traditional bank accounts or securities, where institutions can confirm ownership, crypto assets are often self-custodied, making it difficult for executors to ascertain whether any crypto forms part of the estate. This issue is emphasized in reports from the Isle of Man</w:t>
      </w:r>
      <w:r w:rsidR="007B2EB1" w:rsidRPr="00782AB6">
        <w:rPr>
          <w:rStyle w:val="EndnoteReference"/>
          <w:rFonts w:asciiTheme="majorBidi" w:eastAsia="Times New Roman" w:hAnsiTheme="majorBidi" w:cstheme="majorBidi"/>
          <w:kern w:val="0"/>
          <w14:ligatures w14:val="none"/>
        </w:rPr>
        <w:t xml:space="preserve"> </w:t>
      </w:r>
      <w:r w:rsidR="007B2EB1" w:rsidRPr="00782AB6">
        <w:rPr>
          <w:rStyle w:val="FootnoteReference"/>
          <w:rFonts w:asciiTheme="majorBidi" w:eastAsia="Times New Roman" w:hAnsiTheme="majorBidi" w:cstheme="majorBidi"/>
          <w:kern w:val="0"/>
          <w14:ligatures w14:val="none"/>
        </w:rPr>
        <w:footnoteReference w:id="3"/>
      </w:r>
      <w:r w:rsidR="00D02906" w:rsidRPr="00782AB6">
        <w:rPr>
          <w:rStyle w:val="EndnoteReference"/>
          <w:rFonts w:asciiTheme="majorBidi" w:eastAsia="Times New Roman" w:hAnsiTheme="majorBidi" w:cstheme="majorBidi"/>
          <w:kern w:val="0"/>
          <w14:ligatures w14:val="none"/>
        </w:rPr>
        <w:t xml:space="preserve">, </w:t>
      </w:r>
      <w:r w:rsidRPr="00782AB6">
        <w:rPr>
          <w:rFonts w:asciiTheme="majorBidi" w:eastAsia="Times New Roman" w:hAnsiTheme="majorBidi" w:cstheme="majorBidi"/>
          <w:kern w:val="0"/>
          <w14:ligatures w14:val="none"/>
        </w:rPr>
        <w:t xml:space="preserve"> Guernsey</w:t>
      </w:r>
      <w:r w:rsidR="00D02906" w:rsidRPr="00782AB6">
        <w:rPr>
          <w:rStyle w:val="FootnoteReference"/>
          <w:rFonts w:asciiTheme="majorBidi" w:eastAsia="Times New Roman" w:hAnsiTheme="majorBidi" w:cstheme="majorBidi"/>
          <w:kern w:val="0"/>
          <w14:ligatures w14:val="none"/>
        </w:rPr>
        <w:footnoteReference w:id="4"/>
      </w:r>
      <w:r w:rsidR="00D02906" w:rsidRPr="00782AB6">
        <w:rPr>
          <w:rFonts w:asciiTheme="majorBidi" w:eastAsia="Times New Roman" w:hAnsiTheme="majorBidi" w:cstheme="majorBidi"/>
          <w:kern w:val="0"/>
          <w14:ligatures w14:val="none"/>
        </w:rPr>
        <w:t xml:space="preserve">, </w:t>
      </w:r>
      <w:r w:rsidRPr="00782AB6">
        <w:rPr>
          <w:rFonts w:asciiTheme="majorBidi" w:eastAsia="Times New Roman" w:hAnsiTheme="majorBidi" w:cstheme="majorBidi"/>
          <w:kern w:val="0"/>
          <w14:ligatures w14:val="none"/>
        </w:rPr>
        <w:t>the Bahamas</w:t>
      </w:r>
      <w:r w:rsidR="00D02906" w:rsidRPr="00782AB6">
        <w:rPr>
          <w:rStyle w:val="FootnoteReference"/>
          <w:rFonts w:asciiTheme="majorBidi" w:eastAsia="Times New Roman" w:hAnsiTheme="majorBidi" w:cstheme="majorBidi"/>
          <w:kern w:val="0"/>
          <w14:ligatures w14:val="none"/>
        </w:rPr>
        <w:footnoteReference w:id="5"/>
      </w:r>
      <w:r w:rsidRPr="00782AB6">
        <w:rPr>
          <w:rFonts w:asciiTheme="majorBidi" w:eastAsia="Times New Roman" w:hAnsiTheme="majorBidi" w:cstheme="majorBidi"/>
          <w:kern w:val="0"/>
          <w14:ligatures w14:val="none"/>
        </w:rPr>
        <w:t xml:space="preserve">, the Cayman </w:t>
      </w:r>
      <w:r w:rsidRPr="00782AB6">
        <w:rPr>
          <w:rFonts w:asciiTheme="majorBidi" w:eastAsia="Times New Roman" w:hAnsiTheme="majorBidi" w:cstheme="majorBidi"/>
          <w:kern w:val="0"/>
          <w14:ligatures w14:val="none"/>
        </w:rPr>
        <w:lastRenderedPageBreak/>
        <w:t>Islands</w:t>
      </w:r>
      <w:r w:rsidR="00D02906" w:rsidRPr="00782AB6">
        <w:rPr>
          <w:rStyle w:val="FootnoteReference"/>
          <w:rFonts w:asciiTheme="majorBidi" w:eastAsia="Times New Roman" w:hAnsiTheme="majorBidi" w:cstheme="majorBidi"/>
          <w:kern w:val="0"/>
          <w14:ligatures w14:val="none"/>
        </w:rPr>
        <w:footnoteReference w:id="6"/>
      </w:r>
      <w:r w:rsidRPr="00782AB6">
        <w:rPr>
          <w:rFonts w:asciiTheme="majorBidi" w:eastAsia="Times New Roman" w:hAnsiTheme="majorBidi" w:cstheme="majorBidi"/>
          <w:kern w:val="0"/>
          <w14:ligatures w14:val="none"/>
        </w:rPr>
        <w:t xml:space="preserve"> and England &amp; Wales</w:t>
      </w:r>
      <w:r w:rsidR="00D02906" w:rsidRPr="00782AB6">
        <w:rPr>
          <w:rStyle w:val="FootnoteReference"/>
          <w:rFonts w:asciiTheme="majorBidi" w:eastAsia="Times New Roman" w:hAnsiTheme="majorBidi" w:cstheme="majorBidi"/>
          <w:kern w:val="0"/>
          <w14:ligatures w14:val="none"/>
        </w:rPr>
        <w:footnoteReference w:id="7"/>
      </w:r>
      <w:r w:rsidRPr="00782AB6">
        <w:rPr>
          <w:rFonts w:asciiTheme="majorBidi" w:eastAsia="Times New Roman" w:hAnsiTheme="majorBidi" w:cstheme="majorBidi"/>
          <w:kern w:val="0"/>
          <w14:ligatures w14:val="none"/>
        </w:rPr>
        <w:t>. These reports highlight the necessity of maintaining an inventory or succession plan to ensure that heirs or executors can identify the existence of crypto assets.</w:t>
      </w:r>
    </w:p>
    <w:p w14:paraId="232812F7" w14:textId="2F255B2B" w:rsidR="00F26B7C" w:rsidRPr="00782AB6" w:rsidRDefault="00F26B7C" w:rsidP="000A0C6B">
      <w:pPr>
        <w:spacing w:before="100" w:beforeAutospacing="1" w:after="100" w:afterAutospacing="1" w:line="240" w:lineRule="auto"/>
        <w:jc w:val="both"/>
        <w:rPr>
          <w:rFonts w:asciiTheme="majorBidi" w:eastAsia="Times New Roman" w:hAnsiTheme="majorBidi" w:cstheme="majorBidi"/>
          <w:kern w:val="0"/>
          <w14:ligatures w14:val="none"/>
        </w:rPr>
      </w:pPr>
      <w:r w:rsidRPr="00F26B7C">
        <w:rPr>
          <w:rFonts w:asciiTheme="majorBidi" w:eastAsia="Times New Roman" w:hAnsiTheme="majorBidi" w:cstheme="majorBidi"/>
          <w:kern w:val="0"/>
          <w14:ligatures w14:val="none"/>
        </w:rPr>
        <w:t>Even if ownership is clear, access remains a challenge in crypto inheritance. Without proper custody, as will be discussed later, assets may be unrecoverable</w:t>
      </w:r>
    </w:p>
    <w:p w14:paraId="3A2473F0" w14:textId="502B68C8" w:rsidR="00DA03C2" w:rsidRPr="00782AB6" w:rsidRDefault="00DA03C2" w:rsidP="000A0C6B">
      <w:pPr>
        <w:spacing w:before="100" w:beforeAutospacing="1" w:after="100" w:afterAutospacing="1" w:line="240" w:lineRule="auto"/>
        <w:jc w:val="both"/>
        <w:rPr>
          <w:rFonts w:asciiTheme="majorBidi" w:eastAsia="Times New Roman" w:hAnsiTheme="majorBidi" w:cstheme="majorBidi"/>
          <w:kern w:val="0"/>
          <w14:ligatures w14:val="none"/>
        </w:rPr>
      </w:pPr>
      <w:r w:rsidRPr="00782AB6">
        <w:rPr>
          <w:rFonts w:asciiTheme="majorBidi" w:hAnsiTheme="majorBidi" w:cstheme="majorBidi"/>
        </w:rPr>
        <w:t>The applicable succession law for crypto inheritance is unclear due to the uncertain situs of crypto assets. In common law jurisdictions, crypto assets are generally considered movable property, meaning succession follows the deceased’s domicile at death. Under English law, situs follows domicile rather than physical location, so if the deceased was not domiciled in England, its succession law does not apply—even if crypto assets were held there</w:t>
      </w:r>
      <w:r w:rsidRPr="00782AB6">
        <w:rPr>
          <w:rStyle w:val="FootnoteReference"/>
          <w:rFonts w:asciiTheme="majorBidi" w:hAnsiTheme="majorBidi" w:cstheme="majorBidi"/>
        </w:rPr>
        <w:footnoteReference w:id="8"/>
      </w:r>
      <w:r w:rsidRPr="00782AB6">
        <w:rPr>
          <w:rFonts w:asciiTheme="majorBidi" w:hAnsiTheme="majorBidi" w:cstheme="majorBidi"/>
        </w:rPr>
        <w:t>. Guernsey and the Bahamas likely follow this principle, as their courts generally align with English rulings on succession and situs (see Walkers, Ross Belhomme).</w:t>
      </w:r>
    </w:p>
    <w:p w14:paraId="40EB97F8" w14:textId="77777777" w:rsidR="00AD52A6" w:rsidRPr="00782AB6" w:rsidRDefault="00DE76C2" w:rsidP="000A0C6B">
      <w:pPr>
        <w:spacing w:before="100" w:beforeAutospacing="1" w:after="100" w:afterAutospacing="1" w:line="240" w:lineRule="auto"/>
        <w:jc w:val="both"/>
        <w:rPr>
          <w:rFonts w:asciiTheme="majorBidi" w:hAnsiTheme="majorBidi" w:cstheme="majorBidi"/>
        </w:rPr>
      </w:pPr>
      <w:r w:rsidRPr="00782AB6">
        <w:rPr>
          <w:rFonts w:asciiTheme="majorBidi" w:hAnsiTheme="majorBidi" w:cstheme="majorBidi"/>
        </w:rPr>
        <w:t xml:space="preserve">Common law jurisdictions, such as the Cayman Islands and the Bahamas, generally do not impose forced heirship, unlike many civil law jurisdictions (as discussed later) where certain heirs have mandatory inheritance rights. This discrepancy can lead to conflicts when a deceased’s domicile enforces forced heirship, but their crypto assets are held in a jurisdiction without such rules. Reports </w:t>
      </w:r>
      <w:r w:rsidR="00283C1F" w:rsidRPr="00782AB6">
        <w:rPr>
          <w:rFonts w:asciiTheme="majorBidi" w:hAnsiTheme="majorBidi" w:cstheme="majorBidi"/>
        </w:rPr>
        <w:t>on</w:t>
      </w:r>
      <w:r w:rsidR="00B52F48" w:rsidRPr="00782AB6">
        <w:rPr>
          <w:rFonts w:asciiTheme="majorBidi" w:hAnsiTheme="majorBidi" w:cstheme="majorBidi"/>
        </w:rPr>
        <w:t xml:space="preserve"> </w:t>
      </w:r>
      <w:r w:rsidRPr="00782AB6">
        <w:rPr>
          <w:rFonts w:asciiTheme="majorBidi" w:hAnsiTheme="majorBidi" w:cstheme="majorBidi"/>
        </w:rPr>
        <w:t>Cayman Islands</w:t>
      </w:r>
      <w:r w:rsidR="00B52F48" w:rsidRPr="00782AB6">
        <w:rPr>
          <w:rStyle w:val="FootnoteReference"/>
          <w:rFonts w:asciiTheme="majorBidi" w:hAnsiTheme="majorBidi" w:cstheme="majorBidi"/>
        </w:rPr>
        <w:footnoteReference w:id="9"/>
      </w:r>
      <w:r w:rsidRPr="00782AB6">
        <w:rPr>
          <w:rFonts w:asciiTheme="majorBidi" w:hAnsiTheme="majorBidi" w:cstheme="majorBidi"/>
        </w:rPr>
        <w:t xml:space="preserve"> and Bahamas</w:t>
      </w:r>
      <w:r w:rsidR="00B52F48" w:rsidRPr="00782AB6">
        <w:rPr>
          <w:rStyle w:val="FootnoteReference"/>
          <w:rFonts w:asciiTheme="majorBidi" w:hAnsiTheme="majorBidi" w:cstheme="majorBidi"/>
        </w:rPr>
        <w:footnoteReference w:id="10"/>
      </w:r>
      <w:r w:rsidRPr="00782AB6">
        <w:rPr>
          <w:rFonts w:asciiTheme="majorBidi" w:hAnsiTheme="majorBidi" w:cstheme="majorBidi"/>
        </w:rPr>
        <w:t xml:space="preserve"> highlight the need for careful structuring of crypto holdings to navigate these issues.</w:t>
      </w:r>
      <w:r w:rsidR="00AD52A6" w:rsidRPr="00782AB6">
        <w:rPr>
          <w:rFonts w:asciiTheme="majorBidi" w:hAnsiTheme="majorBidi" w:cstheme="majorBidi"/>
        </w:rPr>
        <w:t xml:space="preserve"> </w:t>
      </w:r>
    </w:p>
    <w:p w14:paraId="57D660E6" w14:textId="78413865" w:rsidR="00AD52A6" w:rsidRPr="00782AB6" w:rsidRDefault="00AD52A6" w:rsidP="000A0C6B">
      <w:pPr>
        <w:pStyle w:val="NormalWeb"/>
        <w:jc w:val="both"/>
        <w:rPr>
          <w:rFonts w:asciiTheme="majorBidi" w:hAnsiTheme="majorBidi" w:cstheme="majorBidi"/>
          <w:b/>
          <w:bCs/>
        </w:rPr>
      </w:pPr>
      <w:r w:rsidRPr="00782AB6">
        <w:rPr>
          <w:rFonts w:asciiTheme="majorBidi" w:hAnsiTheme="majorBidi" w:cstheme="majorBidi"/>
        </w:rPr>
        <w:t xml:space="preserve">To address the inheritance challenges mentioned, various common law jurisdictions propose different approaches. </w:t>
      </w:r>
      <w:r w:rsidRPr="00782AB6">
        <w:rPr>
          <w:rStyle w:val="Strong"/>
          <w:rFonts w:asciiTheme="majorBidi" w:eastAsiaTheme="majorEastAsia" w:hAnsiTheme="majorBidi" w:cstheme="majorBidi"/>
          <w:b w:val="0"/>
          <w:bCs w:val="0"/>
        </w:rPr>
        <w:t>Wyoming</w:t>
      </w:r>
      <w:r w:rsidRPr="00782AB6">
        <w:rPr>
          <w:rStyle w:val="FootnoteReference"/>
          <w:rFonts w:asciiTheme="majorBidi" w:eastAsiaTheme="majorEastAsia" w:hAnsiTheme="majorBidi" w:cstheme="majorBidi"/>
          <w:b/>
          <w:bCs/>
        </w:rPr>
        <w:footnoteReference w:id="11"/>
      </w:r>
      <w:r w:rsidRPr="00782AB6">
        <w:rPr>
          <w:rFonts w:asciiTheme="majorBidi" w:hAnsiTheme="majorBidi" w:cstheme="majorBidi"/>
        </w:rPr>
        <w:t xml:space="preserve">  suggests </w:t>
      </w:r>
      <w:r w:rsidRPr="00782AB6">
        <w:rPr>
          <w:rStyle w:val="Strong"/>
          <w:rFonts w:asciiTheme="majorBidi" w:eastAsiaTheme="majorEastAsia" w:hAnsiTheme="majorBidi" w:cstheme="majorBidi"/>
          <w:b w:val="0"/>
          <w:bCs w:val="0"/>
        </w:rPr>
        <w:t>LLCs</w:t>
      </w:r>
      <w:r w:rsidRPr="00782AB6">
        <w:rPr>
          <w:rFonts w:asciiTheme="majorBidi" w:hAnsiTheme="majorBidi" w:cstheme="majorBidi"/>
          <w:b/>
          <w:bCs/>
        </w:rPr>
        <w:t>,</w:t>
      </w:r>
      <w:r w:rsidRPr="00782AB6">
        <w:rPr>
          <w:rFonts w:asciiTheme="majorBidi" w:hAnsiTheme="majorBidi" w:cstheme="majorBidi"/>
        </w:rPr>
        <w:t xml:space="preserve"> while the </w:t>
      </w:r>
      <w:r w:rsidRPr="00782AB6">
        <w:rPr>
          <w:rStyle w:val="Strong"/>
          <w:rFonts w:asciiTheme="majorBidi" w:eastAsiaTheme="majorEastAsia" w:hAnsiTheme="majorBidi" w:cstheme="majorBidi"/>
          <w:b w:val="0"/>
          <w:bCs w:val="0"/>
        </w:rPr>
        <w:t>Cayman Islands</w:t>
      </w:r>
      <w:r w:rsidRPr="00782AB6">
        <w:rPr>
          <w:rStyle w:val="FootnoteReference"/>
          <w:rFonts w:asciiTheme="majorBidi" w:eastAsiaTheme="majorEastAsia" w:hAnsiTheme="majorBidi" w:cstheme="majorBidi"/>
          <w:b/>
          <w:bCs/>
        </w:rPr>
        <w:footnoteReference w:id="12"/>
      </w:r>
      <w:r w:rsidRPr="00782AB6">
        <w:rPr>
          <w:rFonts w:asciiTheme="majorBidi" w:hAnsiTheme="majorBidi" w:cstheme="majorBidi"/>
        </w:rPr>
        <w:t xml:space="preserve">, </w:t>
      </w:r>
      <w:r w:rsidRPr="00782AB6">
        <w:rPr>
          <w:rStyle w:val="Strong"/>
          <w:rFonts w:asciiTheme="majorBidi" w:eastAsiaTheme="majorEastAsia" w:hAnsiTheme="majorBidi" w:cstheme="majorBidi"/>
          <w:b w:val="0"/>
          <w:bCs w:val="0"/>
        </w:rPr>
        <w:t>Guernsey</w:t>
      </w:r>
      <w:r w:rsidRPr="00782AB6">
        <w:rPr>
          <w:rStyle w:val="FootnoteReference"/>
          <w:rFonts w:asciiTheme="majorBidi" w:eastAsiaTheme="majorEastAsia" w:hAnsiTheme="majorBidi" w:cstheme="majorBidi"/>
          <w:b/>
          <w:bCs/>
        </w:rPr>
        <w:footnoteReference w:id="13"/>
      </w:r>
      <w:r w:rsidRPr="00782AB6">
        <w:rPr>
          <w:rFonts w:asciiTheme="majorBidi" w:hAnsiTheme="majorBidi" w:cstheme="majorBidi"/>
        </w:rPr>
        <w:t xml:space="preserve">, </w:t>
      </w:r>
      <w:r w:rsidRPr="00782AB6">
        <w:rPr>
          <w:rStyle w:val="Strong"/>
          <w:rFonts w:asciiTheme="majorBidi" w:eastAsiaTheme="majorEastAsia" w:hAnsiTheme="majorBidi" w:cstheme="majorBidi"/>
          <w:b w:val="0"/>
          <w:bCs w:val="0"/>
        </w:rPr>
        <w:t>Bahamas</w:t>
      </w:r>
      <w:r w:rsidRPr="00782AB6">
        <w:rPr>
          <w:rStyle w:val="FootnoteReference"/>
          <w:rFonts w:asciiTheme="majorBidi" w:eastAsiaTheme="majorEastAsia" w:hAnsiTheme="majorBidi" w:cstheme="majorBidi"/>
          <w:b/>
          <w:bCs/>
        </w:rPr>
        <w:footnoteReference w:id="14"/>
      </w:r>
      <w:r w:rsidRPr="00782AB6">
        <w:rPr>
          <w:rStyle w:val="Strong"/>
          <w:rFonts w:asciiTheme="majorBidi" w:eastAsiaTheme="majorEastAsia" w:hAnsiTheme="majorBidi" w:cstheme="majorBidi"/>
        </w:rPr>
        <w:t>,</w:t>
      </w:r>
      <w:r w:rsidRPr="00782AB6">
        <w:rPr>
          <w:rFonts w:asciiTheme="majorBidi" w:hAnsiTheme="majorBidi" w:cstheme="majorBidi"/>
        </w:rPr>
        <w:t xml:space="preserve"> </w:t>
      </w:r>
      <w:r w:rsidRPr="00782AB6">
        <w:rPr>
          <w:rStyle w:val="Strong"/>
          <w:rFonts w:asciiTheme="majorBidi" w:eastAsiaTheme="majorEastAsia" w:hAnsiTheme="majorBidi" w:cstheme="majorBidi"/>
          <w:b w:val="0"/>
          <w:bCs w:val="0"/>
        </w:rPr>
        <w:t>Bermuda</w:t>
      </w:r>
      <w:r w:rsidRPr="00782AB6">
        <w:rPr>
          <w:rStyle w:val="FootnoteReference"/>
          <w:rFonts w:asciiTheme="majorBidi" w:eastAsiaTheme="majorEastAsia" w:hAnsiTheme="majorBidi" w:cstheme="majorBidi"/>
          <w:b/>
          <w:bCs/>
        </w:rPr>
        <w:footnoteReference w:id="15"/>
      </w:r>
      <w:r w:rsidRPr="00782AB6">
        <w:rPr>
          <w:rFonts w:asciiTheme="majorBidi" w:hAnsiTheme="majorBidi" w:cstheme="majorBidi"/>
        </w:rPr>
        <w:t xml:space="preserve"> and </w:t>
      </w:r>
      <w:r w:rsidRPr="00782AB6">
        <w:rPr>
          <w:rStyle w:val="Strong"/>
          <w:rFonts w:asciiTheme="majorBidi" w:eastAsiaTheme="majorEastAsia" w:hAnsiTheme="majorBidi" w:cstheme="majorBidi"/>
          <w:b w:val="0"/>
          <w:bCs w:val="0"/>
        </w:rPr>
        <w:t>BVI</w:t>
      </w:r>
      <w:r w:rsidRPr="00782AB6">
        <w:rPr>
          <w:rStyle w:val="FootnoteReference"/>
          <w:rFonts w:asciiTheme="majorBidi" w:eastAsiaTheme="majorEastAsia" w:hAnsiTheme="majorBidi" w:cstheme="majorBidi"/>
          <w:b/>
          <w:bCs/>
        </w:rPr>
        <w:footnoteReference w:id="16"/>
      </w:r>
      <w:r w:rsidRPr="00782AB6">
        <w:rPr>
          <w:rFonts w:asciiTheme="majorBidi" w:hAnsiTheme="majorBidi" w:cstheme="majorBidi"/>
        </w:rPr>
        <w:t xml:space="preserve"> advocate for </w:t>
      </w:r>
      <w:r w:rsidRPr="00782AB6">
        <w:rPr>
          <w:rStyle w:val="Strong"/>
          <w:rFonts w:asciiTheme="majorBidi" w:eastAsiaTheme="majorEastAsia" w:hAnsiTheme="majorBidi" w:cstheme="majorBidi"/>
          <w:b w:val="0"/>
          <w:bCs w:val="0"/>
        </w:rPr>
        <w:t>trusts and foundations</w:t>
      </w:r>
      <w:r w:rsidRPr="00782AB6">
        <w:rPr>
          <w:rFonts w:asciiTheme="majorBidi" w:hAnsiTheme="majorBidi" w:cstheme="majorBidi"/>
        </w:rPr>
        <w:t xml:space="preserve">. The </w:t>
      </w:r>
      <w:r w:rsidRPr="00782AB6">
        <w:rPr>
          <w:rStyle w:val="Strong"/>
          <w:rFonts w:asciiTheme="majorBidi" w:eastAsiaTheme="majorEastAsia" w:hAnsiTheme="majorBidi" w:cstheme="majorBidi"/>
          <w:b w:val="0"/>
          <w:bCs w:val="0"/>
        </w:rPr>
        <w:t>Bahamas</w:t>
      </w:r>
      <w:r w:rsidRPr="00782AB6">
        <w:rPr>
          <w:rFonts w:asciiTheme="majorBidi" w:hAnsiTheme="majorBidi" w:cstheme="majorBidi"/>
        </w:rPr>
        <w:t xml:space="preserve"> emphasizes </w:t>
      </w:r>
      <w:r w:rsidRPr="00782AB6">
        <w:rPr>
          <w:rStyle w:val="Strong"/>
          <w:rFonts w:asciiTheme="majorBidi" w:eastAsiaTheme="majorEastAsia" w:hAnsiTheme="majorBidi" w:cstheme="majorBidi"/>
          <w:b w:val="0"/>
          <w:bCs w:val="0"/>
        </w:rPr>
        <w:t>locally operated structures</w:t>
      </w:r>
      <w:r w:rsidRPr="00782AB6">
        <w:rPr>
          <w:rFonts w:asciiTheme="majorBidi" w:hAnsiTheme="majorBidi" w:cstheme="majorBidi"/>
        </w:rPr>
        <w:t xml:space="preserve">, while the </w:t>
      </w:r>
      <w:r w:rsidRPr="00782AB6">
        <w:rPr>
          <w:rStyle w:val="Strong"/>
          <w:rFonts w:asciiTheme="majorBidi" w:eastAsiaTheme="majorEastAsia" w:hAnsiTheme="majorBidi" w:cstheme="majorBidi"/>
          <w:b w:val="0"/>
          <w:bCs w:val="0"/>
        </w:rPr>
        <w:t>BVI</w:t>
      </w:r>
      <w:r w:rsidRPr="00782AB6">
        <w:rPr>
          <w:rFonts w:asciiTheme="majorBidi" w:hAnsiTheme="majorBidi" w:cstheme="majorBidi"/>
          <w:b/>
          <w:bCs/>
        </w:rPr>
        <w:t xml:space="preserve"> f</w:t>
      </w:r>
      <w:r w:rsidRPr="00782AB6">
        <w:rPr>
          <w:rFonts w:asciiTheme="majorBidi" w:hAnsiTheme="majorBidi" w:cstheme="majorBidi"/>
        </w:rPr>
        <w:t xml:space="preserve">avors </w:t>
      </w:r>
      <w:r w:rsidRPr="00782AB6">
        <w:rPr>
          <w:rStyle w:val="Strong"/>
          <w:rFonts w:asciiTheme="majorBidi" w:eastAsiaTheme="majorEastAsia" w:hAnsiTheme="majorBidi" w:cstheme="majorBidi"/>
          <w:b w:val="0"/>
          <w:bCs w:val="0"/>
        </w:rPr>
        <w:t>substantive trusts</w:t>
      </w:r>
      <w:r w:rsidRPr="00782AB6">
        <w:rPr>
          <w:rFonts w:asciiTheme="majorBidi" w:hAnsiTheme="majorBidi" w:cstheme="majorBidi"/>
          <w:b/>
          <w:bCs/>
        </w:rPr>
        <w:t>.</w:t>
      </w:r>
    </w:p>
    <w:p w14:paraId="12473353" w14:textId="380CFF48" w:rsidR="00B6478F" w:rsidRPr="00782AB6" w:rsidRDefault="008642A5" w:rsidP="000A0C6B">
      <w:pPr>
        <w:spacing w:before="100" w:beforeAutospacing="1" w:after="100" w:afterAutospacing="1" w:line="240" w:lineRule="auto"/>
        <w:jc w:val="both"/>
        <w:rPr>
          <w:rFonts w:asciiTheme="majorBidi" w:eastAsia="Times New Roman" w:hAnsiTheme="majorBidi" w:cstheme="majorBidi"/>
          <w:kern w:val="0"/>
          <w14:ligatures w14:val="none"/>
        </w:rPr>
      </w:pPr>
      <w:r w:rsidRPr="008642A5">
        <w:rPr>
          <w:rFonts w:asciiTheme="majorBidi" w:eastAsia="Times New Roman" w:hAnsiTheme="majorBidi" w:cstheme="majorBidi"/>
          <w:kern w:val="0"/>
          <w14:ligatures w14:val="none"/>
        </w:rPr>
        <w:t>Given the lack of a central registry, risks of asset loss, and legal uncertainties, proactive estate planning is essential to ensure the smooth inheritance of crypto assets.</w:t>
      </w:r>
    </w:p>
    <w:p w14:paraId="7B803D1F" w14:textId="5B882091" w:rsidR="00B6478F" w:rsidRPr="00782AB6" w:rsidRDefault="00B6478F" w:rsidP="00DE76C2">
      <w:pPr>
        <w:rPr>
          <w:rFonts w:asciiTheme="majorBidi" w:hAnsiTheme="majorBidi" w:cstheme="majorBidi"/>
          <w:b/>
          <w:bCs/>
        </w:rPr>
      </w:pPr>
      <w:r w:rsidRPr="00782AB6">
        <w:rPr>
          <w:rFonts w:asciiTheme="majorBidi" w:hAnsiTheme="majorBidi" w:cstheme="majorBidi"/>
          <w:b/>
          <w:bCs/>
        </w:rPr>
        <w:t>Legal and practical issues for a trust/foundation acquiring crypto assets</w:t>
      </w:r>
    </w:p>
    <w:p w14:paraId="01B5C6AD" w14:textId="77777777" w:rsidR="00B6478F" w:rsidRPr="00782AB6" w:rsidRDefault="00B6478F" w:rsidP="00B6478F">
      <w:pPr>
        <w:spacing w:before="100" w:beforeAutospacing="1" w:after="100" w:afterAutospacing="1" w:line="240" w:lineRule="auto"/>
        <w:outlineLvl w:val="2"/>
        <w:rPr>
          <w:rFonts w:asciiTheme="majorBidi" w:eastAsia="Times New Roman" w:hAnsiTheme="majorBidi" w:cstheme="majorBidi"/>
          <w:kern w:val="0"/>
          <w14:ligatures w14:val="none"/>
        </w:rPr>
      </w:pPr>
      <w:r w:rsidRPr="00F131B6">
        <w:rPr>
          <w:rFonts w:asciiTheme="majorBidi" w:eastAsia="Times New Roman" w:hAnsiTheme="majorBidi" w:cstheme="majorBidi"/>
          <w:kern w:val="0"/>
          <w14:ligatures w14:val="none"/>
        </w:rPr>
        <w:t>Trustees' and Foundation Councils' Authority to Hold and Invest in Crypto Assets</w:t>
      </w:r>
    </w:p>
    <w:p w14:paraId="0EE7BFA1" w14:textId="1D843CFF" w:rsidR="00D514A5" w:rsidRPr="00F131B6" w:rsidRDefault="00D514A5" w:rsidP="000A0C6B">
      <w:pPr>
        <w:spacing w:before="100" w:beforeAutospacing="1" w:after="100" w:afterAutospacing="1" w:line="240" w:lineRule="auto"/>
        <w:jc w:val="both"/>
        <w:rPr>
          <w:rFonts w:asciiTheme="majorBidi" w:eastAsia="Times New Roman" w:hAnsiTheme="majorBidi" w:cstheme="majorBidi"/>
          <w:kern w:val="0"/>
          <w14:ligatures w14:val="none"/>
        </w:rPr>
      </w:pPr>
      <w:r w:rsidRPr="00D514A5">
        <w:rPr>
          <w:rFonts w:asciiTheme="majorBidi" w:eastAsia="Times New Roman" w:hAnsiTheme="majorBidi" w:cstheme="majorBidi"/>
          <w:kern w:val="0"/>
          <w14:ligatures w14:val="none"/>
        </w:rPr>
        <w:lastRenderedPageBreak/>
        <w:t>A key issue for trusts and foundations acquiring crypto assets is ensuring proper documentation of ownership and confirming that trustees or foundation councils have the authority to hold, invest in, and exchange crypto. Reports from common law jurisdictions recommend that these powers be expressly stated in governing documents to prevent disputes and liability risks amid regulatory uncertainty.</w:t>
      </w:r>
    </w:p>
    <w:p w14:paraId="78325E8C" w14:textId="27D3D66D" w:rsidR="00B6478F" w:rsidRPr="00782AB6" w:rsidRDefault="00B6478F" w:rsidP="000A0C6B">
      <w:pPr>
        <w:spacing w:before="100" w:beforeAutospacing="1" w:after="100" w:afterAutospacing="1" w:line="240" w:lineRule="auto"/>
        <w:jc w:val="both"/>
        <w:rPr>
          <w:rFonts w:asciiTheme="majorBidi" w:eastAsia="Times New Roman" w:hAnsiTheme="majorBidi" w:cstheme="majorBidi"/>
          <w:kern w:val="0"/>
          <w14:ligatures w14:val="none"/>
        </w:rPr>
      </w:pPr>
      <w:r w:rsidRPr="00F131B6">
        <w:rPr>
          <w:rFonts w:asciiTheme="majorBidi" w:eastAsia="Times New Roman" w:hAnsiTheme="majorBidi" w:cstheme="majorBidi"/>
          <w:kern w:val="0"/>
          <w14:ligatures w14:val="none"/>
        </w:rPr>
        <w:t>The Singapore report</w:t>
      </w:r>
      <w:r w:rsidR="00283C1F" w:rsidRPr="00782AB6">
        <w:rPr>
          <w:rStyle w:val="FootnoteReference"/>
          <w:rFonts w:asciiTheme="majorBidi" w:eastAsia="Times New Roman" w:hAnsiTheme="majorBidi" w:cstheme="majorBidi"/>
          <w:kern w:val="0"/>
          <w14:ligatures w14:val="none"/>
        </w:rPr>
        <w:footnoteReference w:id="17"/>
      </w:r>
      <w:r w:rsidRPr="00F131B6">
        <w:rPr>
          <w:rFonts w:asciiTheme="majorBidi" w:eastAsia="Times New Roman" w:hAnsiTheme="majorBidi" w:cstheme="majorBidi"/>
          <w:kern w:val="0"/>
          <w14:ligatures w14:val="none"/>
        </w:rPr>
        <w:t xml:space="preserve"> emphasizes that trustees and foundation managers may lack the necessary authority to hold or invest in crypto assets unless explicitly permitted by the trust deed or foundation constitution. Without such express authorization, trustees risk acting outside their powers, potentially exposing themselves to liability. Similarly, the Bahamas</w:t>
      </w:r>
      <w:r w:rsidR="00283C1F" w:rsidRPr="00782AB6">
        <w:rPr>
          <w:rStyle w:val="FootnoteReference"/>
          <w:rFonts w:asciiTheme="majorBidi" w:eastAsia="Times New Roman" w:hAnsiTheme="majorBidi" w:cstheme="majorBidi"/>
          <w:kern w:val="0"/>
          <w14:ligatures w14:val="none"/>
        </w:rPr>
        <w:footnoteReference w:id="18"/>
      </w:r>
      <w:r w:rsidRPr="00F131B6">
        <w:rPr>
          <w:rFonts w:asciiTheme="majorBidi" w:eastAsia="Times New Roman" w:hAnsiTheme="majorBidi" w:cstheme="majorBidi"/>
          <w:kern w:val="0"/>
          <w14:ligatures w14:val="none"/>
        </w:rPr>
        <w:t xml:space="preserve"> and Bermuda</w:t>
      </w:r>
      <w:r w:rsidR="00283C1F" w:rsidRPr="00782AB6">
        <w:rPr>
          <w:rStyle w:val="FootnoteReference"/>
          <w:rFonts w:asciiTheme="majorBidi" w:eastAsia="Times New Roman" w:hAnsiTheme="majorBidi" w:cstheme="majorBidi"/>
          <w:kern w:val="0"/>
          <w14:ligatures w14:val="none"/>
        </w:rPr>
        <w:footnoteReference w:id="19"/>
      </w:r>
      <w:r w:rsidRPr="00F131B6">
        <w:rPr>
          <w:rFonts w:asciiTheme="majorBidi" w:eastAsia="Times New Roman" w:hAnsiTheme="majorBidi" w:cstheme="majorBidi"/>
          <w:kern w:val="0"/>
          <w14:ligatures w14:val="none"/>
        </w:rPr>
        <w:t xml:space="preserve"> reports recommend that trust and foundation documents contain explicit provisions allowing the holding and investment of crypto assets. Additionally, they stress</w:t>
      </w:r>
      <w:r w:rsidR="00C14B8C" w:rsidRPr="00782AB6">
        <w:rPr>
          <w:rFonts w:asciiTheme="majorBidi" w:hAnsiTheme="majorBidi" w:cstheme="majorBidi"/>
        </w:rPr>
        <w:t xml:space="preserve"> the need to expressly authorize trustees to delegate crypto custody.</w:t>
      </w:r>
    </w:p>
    <w:p w14:paraId="69EF099E" w14:textId="77777777" w:rsidR="00265C1F" w:rsidRPr="00265C1F" w:rsidRDefault="00265C1F" w:rsidP="000A0C6B">
      <w:pPr>
        <w:spacing w:before="100" w:beforeAutospacing="1" w:after="100" w:afterAutospacing="1" w:line="240" w:lineRule="auto"/>
        <w:jc w:val="both"/>
        <w:outlineLvl w:val="2"/>
        <w:rPr>
          <w:rFonts w:asciiTheme="majorBidi" w:eastAsia="Times New Roman" w:hAnsiTheme="majorBidi" w:cstheme="majorBidi"/>
          <w:kern w:val="0"/>
          <w14:ligatures w14:val="none"/>
        </w:rPr>
      </w:pPr>
      <w:r w:rsidRPr="00265C1F">
        <w:rPr>
          <w:rFonts w:asciiTheme="majorBidi" w:eastAsia="Times New Roman" w:hAnsiTheme="majorBidi" w:cstheme="majorBidi"/>
          <w:kern w:val="0"/>
          <w14:ligatures w14:val="none"/>
        </w:rPr>
        <w:t>Reducing Trustee Liability in Crypto Investments</w:t>
      </w:r>
    </w:p>
    <w:p w14:paraId="1250DF92" w14:textId="31B4B1D7" w:rsidR="00265C1F" w:rsidRPr="00265C1F" w:rsidRDefault="00265C1F" w:rsidP="000A0C6B">
      <w:pPr>
        <w:spacing w:before="100" w:beforeAutospacing="1" w:after="100" w:afterAutospacing="1" w:line="240" w:lineRule="auto"/>
        <w:jc w:val="both"/>
        <w:rPr>
          <w:rFonts w:asciiTheme="majorBidi" w:eastAsia="Times New Roman" w:hAnsiTheme="majorBidi" w:cstheme="majorBidi"/>
          <w:kern w:val="0"/>
          <w14:ligatures w14:val="none"/>
        </w:rPr>
      </w:pPr>
      <w:r w:rsidRPr="00265C1F">
        <w:rPr>
          <w:rFonts w:asciiTheme="majorBidi" w:eastAsia="Times New Roman" w:hAnsiTheme="majorBidi" w:cstheme="majorBidi"/>
          <w:kern w:val="0"/>
          <w14:ligatures w14:val="none"/>
        </w:rPr>
        <w:t xml:space="preserve">Given the high risks of crypto, several jurisdictions propose mechanisms to limit trustee liability. A common approach is reserved power trusts, where investment discretion remains with the settlor or a third party, reducing trustee involvement. The BVI report warns that crypto’s volatility makes discretionary powers </w:t>
      </w:r>
      <w:r w:rsidR="00C14B8C" w:rsidRPr="00782AB6">
        <w:rPr>
          <w:rFonts w:asciiTheme="majorBidi" w:eastAsia="Times New Roman" w:hAnsiTheme="majorBidi" w:cstheme="majorBidi"/>
          <w:kern w:val="0"/>
          <w14:ligatures w14:val="none"/>
        </w:rPr>
        <w:t xml:space="preserve">in trusts </w:t>
      </w:r>
      <w:r w:rsidRPr="00265C1F">
        <w:rPr>
          <w:rFonts w:asciiTheme="majorBidi" w:eastAsia="Times New Roman" w:hAnsiTheme="majorBidi" w:cstheme="majorBidi"/>
          <w:kern w:val="0"/>
          <w14:ligatures w14:val="none"/>
        </w:rPr>
        <w:t>risky and recommends minimizing trustee investment decisions.</w:t>
      </w:r>
    </w:p>
    <w:p w14:paraId="40E0C1AE" w14:textId="23C2F722" w:rsidR="00265C1F" w:rsidRPr="00F131B6" w:rsidRDefault="00265C1F" w:rsidP="000A0C6B">
      <w:pPr>
        <w:spacing w:before="100" w:beforeAutospacing="1" w:after="100" w:afterAutospacing="1" w:line="240" w:lineRule="auto"/>
        <w:jc w:val="both"/>
        <w:rPr>
          <w:rFonts w:asciiTheme="majorBidi" w:eastAsia="Times New Roman" w:hAnsiTheme="majorBidi" w:cstheme="majorBidi"/>
          <w:kern w:val="0"/>
          <w14:ligatures w14:val="none"/>
        </w:rPr>
      </w:pPr>
      <w:r w:rsidRPr="00265C1F">
        <w:rPr>
          <w:rFonts w:asciiTheme="majorBidi" w:eastAsia="Times New Roman" w:hAnsiTheme="majorBidi" w:cstheme="majorBidi"/>
          <w:kern w:val="0"/>
          <w14:ligatures w14:val="none"/>
        </w:rPr>
        <w:t>Another method is using an underlying company with an anti-Bartlett clause, which limits the trustee’s duty to oversee investments. The Bermuda and BVI reports suggest holding crypto through such companies, with management left to directors, ensuring trustees are not directly responsible for investment decisions.</w:t>
      </w:r>
    </w:p>
    <w:p w14:paraId="606A2DC7" w14:textId="77777777" w:rsidR="00265C1F" w:rsidRPr="00265C1F" w:rsidRDefault="00265C1F" w:rsidP="00265C1F">
      <w:pPr>
        <w:spacing w:before="100" w:beforeAutospacing="1" w:after="100" w:afterAutospacing="1" w:line="240" w:lineRule="auto"/>
        <w:outlineLvl w:val="2"/>
        <w:rPr>
          <w:rFonts w:asciiTheme="majorBidi" w:eastAsia="Times New Roman" w:hAnsiTheme="majorBidi" w:cstheme="majorBidi"/>
          <w:kern w:val="0"/>
          <w14:ligatures w14:val="none"/>
        </w:rPr>
      </w:pPr>
      <w:r w:rsidRPr="00265C1F">
        <w:rPr>
          <w:rFonts w:asciiTheme="majorBidi" w:eastAsia="Times New Roman" w:hAnsiTheme="majorBidi" w:cstheme="majorBidi"/>
          <w:kern w:val="0"/>
          <w14:ligatures w14:val="none"/>
        </w:rPr>
        <w:t>Use of Specialized Trust and Foundation Structures</w:t>
      </w:r>
    </w:p>
    <w:p w14:paraId="646B026F" w14:textId="77777777" w:rsidR="00265C1F" w:rsidRPr="00265C1F" w:rsidRDefault="00265C1F" w:rsidP="00265C1F">
      <w:pPr>
        <w:spacing w:before="100" w:beforeAutospacing="1" w:after="100" w:afterAutospacing="1" w:line="240" w:lineRule="auto"/>
        <w:rPr>
          <w:rFonts w:asciiTheme="majorBidi" w:eastAsia="Times New Roman" w:hAnsiTheme="majorBidi" w:cstheme="majorBidi"/>
          <w:kern w:val="0"/>
          <w14:ligatures w14:val="none"/>
        </w:rPr>
      </w:pPr>
      <w:r w:rsidRPr="00265C1F">
        <w:rPr>
          <w:rFonts w:asciiTheme="majorBidi" w:eastAsia="Times New Roman" w:hAnsiTheme="majorBidi" w:cstheme="majorBidi"/>
          <w:kern w:val="0"/>
          <w14:ligatures w14:val="none"/>
        </w:rPr>
        <w:t>To mitigate risks and improve crypto asset management, some jurisdictions recommend specialized trust and foundation structures tailored for digital assets.</w:t>
      </w:r>
    </w:p>
    <w:p w14:paraId="78493FAD" w14:textId="77777777" w:rsidR="00265C1F" w:rsidRPr="00265C1F" w:rsidRDefault="00265C1F" w:rsidP="00265C1F">
      <w:pPr>
        <w:numPr>
          <w:ilvl w:val="0"/>
          <w:numId w:val="7"/>
        </w:numPr>
        <w:spacing w:before="100" w:beforeAutospacing="1" w:after="100" w:afterAutospacing="1" w:line="240" w:lineRule="auto"/>
        <w:rPr>
          <w:rFonts w:asciiTheme="majorBidi" w:eastAsia="Times New Roman" w:hAnsiTheme="majorBidi" w:cstheme="majorBidi"/>
          <w:kern w:val="0"/>
          <w14:ligatures w14:val="none"/>
        </w:rPr>
      </w:pPr>
      <w:r w:rsidRPr="00265C1F">
        <w:rPr>
          <w:rFonts w:asciiTheme="majorBidi" w:eastAsia="Times New Roman" w:hAnsiTheme="majorBidi" w:cstheme="majorBidi"/>
          <w:b/>
          <w:bCs/>
          <w:kern w:val="0"/>
          <w14:ligatures w14:val="none"/>
        </w:rPr>
        <w:t xml:space="preserve">Cayman Islands </w:t>
      </w:r>
      <w:r w:rsidRPr="00265C1F">
        <w:rPr>
          <w:rFonts w:asciiTheme="majorBidi" w:eastAsia="Times New Roman" w:hAnsiTheme="majorBidi" w:cstheme="majorBidi"/>
          <w:kern w:val="0"/>
          <w14:ligatures w14:val="none"/>
        </w:rPr>
        <w:t>(Carey Olsen): Cayman STAR trusts and foundation companies offer flexibility and reduce trustee liability, making them suitable for holding crypto.</w:t>
      </w:r>
    </w:p>
    <w:p w14:paraId="2D1CCA82" w14:textId="77777777" w:rsidR="00265C1F" w:rsidRPr="00265C1F" w:rsidRDefault="00265C1F" w:rsidP="00265C1F">
      <w:pPr>
        <w:numPr>
          <w:ilvl w:val="0"/>
          <w:numId w:val="7"/>
        </w:numPr>
        <w:spacing w:before="100" w:beforeAutospacing="1" w:after="100" w:afterAutospacing="1" w:line="240" w:lineRule="auto"/>
        <w:rPr>
          <w:rFonts w:asciiTheme="majorBidi" w:eastAsia="Times New Roman" w:hAnsiTheme="majorBidi" w:cstheme="majorBidi"/>
          <w:kern w:val="0"/>
          <w14:ligatures w14:val="none"/>
        </w:rPr>
      </w:pPr>
      <w:r w:rsidRPr="00265C1F">
        <w:rPr>
          <w:rFonts w:asciiTheme="majorBidi" w:eastAsia="Times New Roman" w:hAnsiTheme="majorBidi" w:cstheme="majorBidi"/>
          <w:b/>
          <w:bCs/>
          <w:kern w:val="0"/>
          <w14:ligatures w14:val="none"/>
        </w:rPr>
        <w:t xml:space="preserve">Bahamas </w:t>
      </w:r>
      <w:r w:rsidRPr="00265C1F">
        <w:rPr>
          <w:rFonts w:asciiTheme="majorBidi" w:eastAsia="Times New Roman" w:hAnsiTheme="majorBidi" w:cstheme="majorBidi"/>
          <w:kern w:val="0"/>
          <w14:ligatures w14:val="none"/>
        </w:rPr>
        <w:t>(Ross Belhomme)</w:t>
      </w:r>
      <w:r w:rsidRPr="00265C1F">
        <w:rPr>
          <w:rFonts w:asciiTheme="majorBidi" w:eastAsia="Times New Roman" w:hAnsiTheme="majorBidi" w:cstheme="majorBidi"/>
          <w:b/>
          <w:bCs/>
          <w:kern w:val="0"/>
          <w14:ligatures w14:val="none"/>
        </w:rPr>
        <w:t>:</w:t>
      </w:r>
      <w:r w:rsidRPr="00265C1F">
        <w:rPr>
          <w:rFonts w:asciiTheme="majorBidi" w:eastAsia="Times New Roman" w:hAnsiTheme="majorBidi" w:cstheme="majorBidi"/>
          <w:kern w:val="0"/>
          <w14:ligatures w14:val="none"/>
        </w:rPr>
        <w:t xml:space="preserve"> Advocates for foundations or purpose trusts, which manage crypto for a specific purpose rather than individual beneficiaries, ensuring flexibility, reduced liability, and succession planning.</w:t>
      </w:r>
    </w:p>
    <w:p w14:paraId="44919E0A" w14:textId="77777777" w:rsidR="00265C1F" w:rsidRPr="00265C1F" w:rsidRDefault="00265C1F" w:rsidP="00265C1F">
      <w:pPr>
        <w:numPr>
          <w:ilvl w:val="0"/>
          <w:numId w:val="7"/>
        </w:numPr>
        <w:spacing w:before="100" w:beforeAutospacing="1" w:after="100" w:afterAutospacing="1" w:line="240" w:lineRule="auto"/>
        <w:rPr>
          <w:rFonts w:asciiTheme="majorBidi" w:eastAsia="Times New Roman" w:hAnsiTheme="majorBidi" w:cstheme="majorBidi"/>
          <w:kern w:val="0"/>
          <w14:ligatures w14:val="none"/>
        </w:rPr>
      </w:pPr>
      <w:r w:rsidRPr="00265C1F">
        <w:rPr>
          <w:rFonts w:asciiTheme="majorBidi" w:eastAsia="Times New Roman" w:hAnsiTheme="majorBidi" w:cstheme="majorBidi"/>
          <w:b/>
          <w:bCs/>
          <w:kern w:val="0"/>
          <w14:ligatures w14:val="none"/>
        </w:rPr>
        <w:t xml:space="preserve">Guernsey </w:t>
      </w:r>
      <w:r w:rsidRPr="00265C1F">
        <w:rPr>
          <w:rFonts w:asciiTheme="majorBidi" w:eastAsia="Times New Roman" w:hAnsiTheme="majorBidi" w:cstheme="majorBidi"/>
          <w:kern w:val="0"/>
          <w14:ligatures w14:val="none"/>
        </w:rPr>
        <w:t>(Walkers): Supports purpose trusts as a viable structure for crypto holdings.</w:t>
      </w:r>
    </w:p>
    <w:p w14:paraId="2168C40B" w14:textId="77777777" w:rsidR="00265C1F" w:rsidRPr="00265C1F" w:rsidRDefault="00265C1F" w:rsidP="00265C1F">
      <w:pPr>
        <w:numPr>
          <w:ilvl w:val="0"/>
          <w:numId w:val="7"/>
        </w:numPr>
        <w:spacing w:before="100" w:beforeAutospacing="1" w:after="100" w:afterAutospacing="1" w:line="240" w:lineRule="auto"/>
        <w:rPr>
          <w:rFonts w:asciiTheme="majorBidi" w:eastAsia="Times New Roman" w:hAnsiTheme="majorBidi" w:cstheme="majorBidi"/>
          <w:kern w:val="0"/>
          <w14:ligatures w14:val="none"/>
        </w:rPr>
      </w:pPr>
      <w:r w:rsidRPr="00265C1F">
        <w:rPr>
          <w:rFonts w:asciiTheme="majorBidi" w:eastAsia="Times New Roman" w:hAnsiTheme="majorBidi" w:cstheme="majorBidi"/>
          <w:b/>
          <w:bCs/>
          <w:kern w:val="0"/>
          <w14:ligatures w14:val="none"/>
        </w:rPr>
        <w:t xml:space="preserve">British Virgin Islands </w:t>
      </w:r>
      <w:r w:rsidRPr="00265C1F">
        <w:rPr>
          <w:rFonts w:asciiTheme="majorBidi" w:eastAsia="Times New Roman" w:hAnsiTheme="majorBidi" w:cstheme="majorBidi"/>
          <w:kern w:val="0"/>
          <w14:ligatures w14:val="none"/>
        </w:rPr>
        <w:t xml:space="preserve">(Harneys): Highlights the Bahamas' VISTA trust, which allows directors to retain control over crypto while relieving trustees of </w:t>
      </w:r>
      <w:r w:rsidRPr="00265C1F">
        <w:rPr>
          <w:rFonts w:asciiTheme="majorBidi" w:eastAsia="Times New Roman" w:hAnsiTheme="majorBidi" w:cstheme="majorBidi"/>
          <w:kern w:val="0"/>
          <w14:ligatures w14:val="none"/>
        </w:rPr>
        <w:lastRenderedPageBreak/>
        <w:t>management obligations. This structure reduces trustee liability while maintaining investment autonomy for experts.</w:t>
      </w:r>
    </w:p>
    <w:p w14:paraId="4B35AEBD" w14:textId="77777777" w:rsidR="00265C1F" w:rsidRPr="00782AB6" w:rsidRDefault="00265C1F" w:rsidP="000A0C6B">
      <w:pPr>
        <w:spacing w:before="100" w:beforeAutospacing="1" w:after="100" w:afterAutospacing="1" w:line="240" w:lineRule="auto"/>
        <w:jc w:val="both"/>
        <w:rPr>
          <w:rFonts w:asciiTheme="majorBidi" w:eastAsia="Times New Roman" w:hAnsiTheme="majorBidi" w:cstheme="majorBidi"/>
          <w:kern w:val="0"/>
          <w14:ligatures w14:val="none"/>
        </w:rPr>
      </w:pPr>
      <w:r w:rsidRPr="00265C1F">
        <w:rPr>
          <w:rFonts w:asciiTheme="majorBidi" w:eastAsia="Times New Roman" w:hAnsiTheme="majorBidi" w:cstheme="majorBidi"/>
          <w:kern w:val="0"/>
          <w14:ligatures w14:val="none"/>
        </w:rPr>
        <w:t>These specialized structures provide legal clarity and risk management for crypto asset holdings.</w:t>
      </w:r>
    </w:p>
    <w:p w14:paraId="3BF06B68" w14:textId="6A7C8F54" w:rsidR="00606C53" w:rsidRPr="00782AB6" w:rsidRDefault="00606C53" w:rsidP="000A0C6B">
      <w:pPr>
        <w:spacing w:before="100" w:beforeAutospacing="1" w:after="100" w:afterAutospacing="1" w:line="240" w:lineRule="auto"/>
        <w:jc w:val="both"/>
        <w:rPr>
          <w:rFonts w:asciiTheme="majorBidi" w:eastAsia="Times New Roman" w:hAnsiTheme="majorBidi" w:cstheme="majorBidi"/>
          <w:kern w:val="0"/>
          <w14:ligatures w14:val="none"/>
        </w:rPr>
      </w:pPr>
      <w:r w:rsidRPr="00782AB6">
        <w:rPr>
          <w:rFonts w:asciiTheme="majorBidi" w:hAnsiTheme="majorBidi" w:cstheme="majorBidi"/>
        </w:rPr>
        <w:t>In summary, trusts and foundations can hold crypto assets</w:t>
      </w:r>
      <w:r w:rsidR="00782AB6">
        <w:rPr>
          <w:rFonts w:asciiTheme="majorBidi" w:hAnsiTheme="majorBidi" w:cstheme="majorBidi"/>
        </w:rPr>
        <w:t xml:space="preserve"> in common law jurisdicints</w:t>
      </w:r>
      <w:r w:rsidRPr="00782AB6">
        <w:rPr>
          <w:rFonts w:asciiTheme="majorBidi" w:hAnsiTheme="majorBidi" w:cstheme="majorBidi"/>
        </w:rPr>
        <w:t>, but ownership must be properly documented and explicitly authorized in their governing documents. Common law reports highlight the importance of clear provisions allowing crypto investments and delegating custody. To mitigate risks, jurisdictions recommend reserved power trusts, underlying companies with anti-Bartlett clauses, and specialized trust structures, providing a structured approach to managing crypto assets while reducing liability.</w:t>
      </w:r>
    </w:p>
    <w:p w14:paraId="007B8E04" w14:textId="34A27318" w:rsidR="00DF3F99" w:rsidRPr="00782AB6" w:rsidRDefault="006B75D4" w:rsidP="00DF3F99">
      <w:pPr>
        <w:pStyle w:val="Heading3"/>
        <w:rPr>
          <w:rFonts w:asciiTheme="majorBidi" w:eastAsia="Times New Roman" w:hAnsiTheme="majorBidi"/>
          <w:b/>
          <w:bCs/>
          <w:color w:val="auto"/>
          <w:kern w:val="0"/>
          <w:sz w:val="24"/>
          <w:szCs w:val="24"/>
          <w14:ligatures w14:val="none"/>
        </w:rPr>
      </w:pPr>
      <w:r w:rsidRPr="00782AB6">
        <w:rPr>
          <w:rFonts w:asciiTheme="majorBidi" w:eastAsia="Times New Roman" w:hAnsiTheme="majorBidi"/>
          <w:b/>
          <w:bCs/>
          <w:color w:val="auto"/>
          <w:kern w:val="0"/>
          <w:sz w:val="24"/>
          <w:szCs w:val="24"/>
          <w14:ligatures w14:val="none"/>
        </w:rPr>
        <w:t>Legal and practical issues for a trusts/foundation regarding the custody of crypto assets</w:t>
      </w:r>
    </w:p>
    <w:p w14:paraId="45A8BEE1" w14:textId="77777777" w:rsidR="00027D50" w:rsidRPr="00782AB6" w:rsidRDefault="00DF3F99" w:rsidP="000A0C6B">
      <w:pPr>
        <w:spacing w:before="100" w:beforeAutospacing="1" w:after="100" w:afterAutospacing="1" w:line="240" w:lineRule="auto"/>
        <w:jc w:val="both"/>
        <w:rPr>
          <w:rFonts w:asciiTheme="majorBidi" w:hAnsiTheme="majorBidi" w:cstheme="majorBidi"/>
        </w:rPr>
      </w:pPr>
      <w:r w:rsidRPr="00DF3F99">
        <w:rPr>
          <w:rFonts w:asciiTheme="majorBidi" w:eastAsia="Times New Roman" w:hAnsiTheme="majorBidi" w:cstheme="majorBidi"/>
          <w:kern w:val="0"/>
          <w14:ligatures w14:val="none"/>
        </w:rPr>
        <w:t>In the introduction of t</w:t>
      </w:r>
      <w:r w:rsidR="006B75D4" w:rsidRPr="00782AB6">
        <w:rPr>
          <w:rFonts w:asciiTheme="majorBidi" w:eastAsia="Times New Roman" w:hAnsiTheme="majorBidi" w:cstheme="majorBidi"/>
          <w:kern w:val="0"/>
          <w14:ligatures w14:val="none"/>
        </w:rPr>
        <w:t>he</w:t>
      </w:r>
      <w:r w:rsidRPr="00DF3F99">
        <w:rPr>
          <w:rFonts w:asciiTheme="majorBidi" w:eastAsia="Times New Roman" w:hAnsiTheme="majorBidi" w:cstheme="majorBidi"/>
          <w:kern w:val="0"/>
          <w14:ligatures w14:val="none"/>
        </w:rPr>
        <w:t xml:space="preserve"> book, Ross Belhomme highlights the significance of custody in managing crypto assets. Trustees must understand custody options and ensure secure asset storage. The three main methods are self-custody, centralized or decentralized exchanges, and third-party custodians.</w:t>
      </w:r>
      <w:r w:rsidR="00027D50" w:rsidRPr="00782AB6">
        <w:rPr>
          <w:rFonts w:asciiTheme="majorBidi" w:hAnsiTheme="majorBidi" w:cstheme="majorBidi"/>
        </w:rPr>
        <w:t xml:space="preserve"> </w:t>
      </w:r>
    </w:p>
    <w:p w14:paraId="74DA8279" w14:textId="425282DE" w:rsidR="00DF3F99" w:rsidRPr="00782AB6" w:rsidRDefault="00027D50" w:rsidP="000A0C6B">
      <w:pPr>
        <w:spacing w:before="100" w:beforeAutospacing="1" w:after="100" w:afterAutospacing="1" w:line="240" w:lineRule="auto"/>
        <w:jc w:val="both"/>
        <w:rPr>
          <w:rFonts w:asciiTheme="majorBidi" w:eastAsia="Times New Roman" w:hAnsiTheme="majorBidi" w:cstheme="majorBidi"/>
          <w:kern w:val="0"/>
          <w14:ligatures w14:val="none"/>
        </w:rPr>
      </w:pPr>
      <w:r w:rsidRPr="00782AB6">
        <w:rPr>
          <w:rFonts w:asciiTheme="majorBidi" w:hAnsiTheme="majorBidi" w:cstheme="majorBidi"/>
        </w:rPr>
        <w:t xml:space="preserve">Self-custody, especially through cold storage, provides security against hacking but is highly problematic due to the risk of losing the private key, which results in permanent asset loss. Moreover, in most common law jurisdictions, including the Bahamas, Cayman Islands, and BVI, self-custody often requires a license, adding another layer of complexity. Additionally, as noted in the Guernsey report, trustees typically lack the necessary technical expertise to manage self-custody effectively, making this option largely impractical. </w:t>
      </w:r>
    </w:p>
    <w:p w14:paraId="68F738AA" w14:textId="6D095638" w:rsidR="006B75D4" w:rsidRPr="00DF3F99" w:rsidRDefault="006B75D4" w:rsidP="000A0C6B">
      <w:pPr>
        <w:spacing w:before="100" w:beforeAutospacing="1" w:after="100" w:afterAutospacing="1" w:line="240" w:lineRule="auto"/>
        <w:jc w:val="both"/>
        <w:rPr>
          <w:rFonts w:asciiTheme="majorBidi" w:eastAsia="Times New Roman" w:hAnsiTheme="majorBidi" w:cstheme="majorBidi"/>
          <w:kern w:val="0"/>
          <w14:ligatures w14:val="none"/>
        </w:rPr>
      </w:pPr>
      <w:r w:rsidRPr="00782AB6">
        <w:rPr>
          <w:rFonts w:asciiTheme="majorBidi" w:hAnsiTheme="majorBidi" w:cstheme="majorBidi"/>
        </w:rPr>
        <w:t>Delegating custody to centralized exchanges enables transactions but risks trustees losing direct control.</w:t>
      </w:r>
    </w:p>
    <w:p w14:paraId="23BD7555" w14:textId="77777777" w:rsidR="00DF3F99" w:rsidRPr="00DF3F99" w:rsidRDefault="00DF3F99" w:rsidP="000A0C6B">
      <w:pPr>
        <w:spacing w:before="100" w:beforeAutospacing="1" w:after="100" w:afterAutospacing="1" w:line="240" w:lineRule="auto"/>
        <w:jc w:val="both"/>
        <w:rPr>
          <w:rFonts w:asciiTheme="majorBidi" w:eastAsia="Times New Roman" w:hAnsiTheme="majorBidi" w:cstheme="majorBidi"/>
          <w:kern w:val="0"/>
          <w14:ligatures w14:val="none"/>
        </w:rPr>
      </w:pPr>
      <w:r w:rsidRPr="00DF3F99">
        <w:rPr>
          <w:rFonts w:asciiTheme="majorBidi" w:eastAsia="Times New Roman" w:hAnsiTheme="majorBidi" w:cstheme="majorBidi"/>
          <w:kern w:val="0"/>
          <w14:ligatures w14:val="none"/>
        </w:rPr>
        <w:t>Third-party custodians are generally preferred, provided they meet strict security standards, including penetration testing, audits, and disaster recovery plans.</w:t>
      </w:r>
    </w:p>
    <w:p w14:paraId="6DB87113" w14:textId="1859AFE9" w:rsidR="00027D50" w:rsidRPr="00782AB6" w:rsidRDefault="006B75D4" w:rsidP="000A0C6B">
      <w:pPr>
        <w:spacing w:before="100" w:beforeAutospacing="1" w:after="100" w:afterAutospacing="1" w:line="240" w:lineRule="auto"/>
        <w:jc w:val="both"/>
        <w:rPr>
          <w:rFonts w:asciiTheme="majorBidi" w:hAnsiTheme="majorBidi" w:cstheme="majorBidi"/>
        </w:rPr>
      </w:pPr>
      <w:r w:rsidRPr="00782AB6">
        <w:rPr>
          <w:rFonts w:asciiTheme="majorBidi" w:eastAsia="Times New Roman" w:hAnsiTheme="majorBidi" w:cstheme="majorBidi"/>
          <w:kern w:val="0"/>
          <w14:ligatures w14:val="none"/>
        </w:rPr>
        <w:t xml:space="preserve">Finally, </w:t>
      </w:r>
      <w:r w:rsidRPr="00782AB6">
        <w:rPr>
          <w:rFonts w:asciiTheme="majorBidi" w:hAnsiTheme="majorBidi" w:cstheme="majorBidi"/>
        </w:rPr>
        <w:t>as mentioned, trustees must confirm that the trust deed allows custody delegation. Guernsey and Isle of Man reports stress the need for clear legal authority</w:t>
      </w:r>
      <w:r w:rsidR="00027D50" w:rsidRPr="00782AB6">
        <w:rPr>
          <w:rFonts w:asciiTheme="majorBidi" w:hAnsiTheme="majorBidi" w:cstheme="majorBidi"/>
        </w:rPr>
        <w:t xml:space="preserve"> to delegate.</w:t>
      </w:r>
    </w:p>
    <w:p w14:paraId="48BAA745" w14:textId="051C9D4D" w:rsidR="00677F66" w:rsidRPr="00782AB6" w:rsidRDefault="00677F66" w:rsidP="00DF3F99">
      <w:pPr>
        <w:spacing w:before="100" w:beforeAutospacing="1" w:after="100" w:afterAutospacing="1" w:line="240" w:lineRule="auto"/>
        <w:rPr>
          <w:rFonts w:asciiTheme="majorBidi" w:eastAsia="Times New Roman" w:hAnsiTheme="majorBidi" w:cstheme="majorBidi"/>
          <w:b/>
          <w:bCs/>
          <w:kern w:val="0"/>
          <w14:ligatures w14:val="none"/>
        </w:rPr>
      </w:pPr>
      <w:r w:rsidRPr="00782AB6">
        <w:rPr>
          <w:rFonts w:asciiTheme="majorBidi" w:eastAsia="Times New Roman" w:hAnsiTheme="majorBidi" w:cstheme="majorBidi"/>
          <w:b/>
          <w:bCs/>
          <w:kern w:val="0"/>
          <w14:ligatures w14:val="none"/>
        </w:rPr>
        <w:t>AML/CRS/FATCA</w:t>
      </w:r>
    </w:p>
    <w:p w14:paraId="3BAFE426" w14:textId="77777777" w:rsidR="00677F66" w:rsidRPr="00782AB6" w:rsidRDefault="00677F66" w:rsidP="000A0C6B">
      <w:pPr>
        <w:spacing w:before="100" w:beforeAutospacing="1" w:after="100" w:afterAutospacing="1" w:line="240" w:lineRule="auto"/>
        <w:jc w:val="both"/>
        <w:rPr>
          <w:rFonts w:asciiTheme="majorBidi" w:eastAsia="Times New Roman" w:hAnsiTheme="majorBidi" w:cstheme="majorBidi"/>
          <w:kern w:val="0"/>
          <w14:ligatures w14:val="none"/>
        </w:rPr>
      </w:pPr>
      <w:r w:rsidRPr="00782AB6">
        <w:rPr>
          <w:rFonts w:asciiTheme="majorBidi" w:eastAsia="Times New Roman" w:hAnsiTheme="majorBidi" w:cstheme="majorBidi"/>
          <w:kern w:val="0"/>
          <w14:ligatures w14:val="none"/>
        </w:rPr>
        <w:t xml:space="preserve">Normally, AML rules apply to virtual and crypto assets in the same way as to other assets. Trustees or foundation boards managing crypto assets must comply with anti-money laundering laws in all common law jurisdictions, carefully verifying the source of crypto funds to avoid exposure to illicit transactions. Additionally, crypto assets may fall under international tax reporting frameworks such as CRS and FATCA, requiring trustees to adapt their reporting processes. To navigate these complexities, trustees should establish </w:t>
      </w:r>
      <w:r w:rsidRPr="00782AB6">
        <w:rPr>
          <w:rFonts w:asciiTheme="majorBidi" w:eastAsia="Times New Roman" w:hAnsiTheme="majorBidi" w:cstheme="majorBidi"/>
          <w:kern w:val="0"/>
          <w14:ligatures w14:val="none"/>
        </w:rPr>
        <w:lastRenderedPageBreak/>
        <w:t xml:space="preserve">an internal advisory team with expertise in crypto security, legal compliance, and risk management, as suggested by Ross Belhomme in the introduction. </w:t>
      </w:r>
    </w:p>
    <w:p w14:paraId="65D056BA" w14:textId="14642CA5" w:rsidR="00677F66" w:rsidRPr="00782AB6" w:rsidRDefault="00677F66" w:rsidP="006B75D4">
      <w:pPr>
        <w:spacing w:before="100" w:beforeAutospacing="1" w:after="100" w:afterAutospacing="1" w:line="240" w:lineRule="auto"/>
        <w:outlineLvl w:val="2"/>
        <w:rPr>
          <w:rFonts w:asciiTheme="majorBidi" w:eastAsia="Times New Roman" w:hAnsiTheme="majorBidi" w:cstheme="majorBidi"/>
          <w:b/>
          <w:bCs/>
          <w:kern w:val="0"/>
          <w14:ligatures w14:val="none"/>
        </w:rPr>
      </w:pPr>
      <w:r w:rsidRPr="00782AB6">
        <w:rPr>
          <w:rFonts w:asciiTheme="majorBidi" w:eastAsia="Times New Roman" w:hAnsiTheme="majorBidi" w:cstheme="majorBidi"/>
          <w:b/>
          <w:bCs/>
          <w:kern w:val="0"/>
          <w14:ligatures w14:val="none"/>
        </w:rPr>
        <w:t>Taxation of Crypto Trading in Common Law Jurisdictions</w:t>
      </w:r>
    </w:p>
    <w:p w14:paraId="0BE941F2" w14:textId="77777777" w:rsidR="00B52F48" w:rsidRPr="00B52F48" w:rsidRDefault="00B52F48" w:rsidP="00B52F48">
      <w:pPr>
        <w:spacing w:before="100" w:beforeAutospacing="1" w:after="100" w:afterAutospacing="1" w:line="240" w:lineRule="auto"/>
        <w:rPr>
          <w:rFonts w:asciiTheme="majorBidi" w:eastAsia="Times New Roman" w:hAnsiTheme="majorBidi" w:cstheme="majorBidi"/>
          <w:kern w:val="0"/>
          <w14:ligatures w14:val="none"/>
        </w:rPr>
      </w:pPr>
      <w:r w:rsidRPr="00B52F48">
        <w:rPr>
          <w:rFonts w:asciiTheme="majorBidi" w:eastAsia="Times New Roman" w:hAnsiTheme="majorBidi" w:cstheme="majorBidi"/>
          <w:kern w:val="0"/>
          <w14:ligatures w14:val="none"/>
        </w:rPr>
        <w:t>Crypto trading by trusts and foundations in common law jurisdictions falls into two categories: tax-neutral and taxable jurisdictions.</w:t>
      </w:r>
    </w:p>
    <w:p w14:paraId="0E93A913" w14:textId="5166A06B" w:rsidR="00B52F48" w:rsidRPr="00B52F48" w:rsidRDefault="00B52F48" w:rsidP="000A0C6B">
      <w:pPr>
        <w:spacing w:before="100" w:beforeAutospacing="1" w:after="100" w:afterAutospacing="1" w:line="240" w:lineRule="auto"/>
        <w:rPr>
          <w:rFonts w:asciiTheme="majorBidi" w:eastAsia="Times New Roman" w:hAnsiTheme="majorBidi" w:cstheme="majorBidi"/>
          <w:b/>
          <w:bCs/>
          <w:kern w:val="0"/>
          <w14:ligatures w14:val="none"/>
        </w:rPr>
      </w:pPr>
      <w:r w:rsidRPr="00B52F48">
        <w:rPr>
          <w:rFonts w:asciiTheme="majorBidi" w:eastAsia="Times New Roman" w:hAnsiTheme="majorBidi" w:cstheme="majorBidi"/>
          <w:b/>
          <w:bCs/>
          <w:kern w:val="0"/>
          <w14:ligatures w14:val="none"/>
        </w:rPr>
        <w:t>Tax-Neutral Jurisdictions</w:t>
      </w:r>
      <w:r w:rsidRPr="00B52F48">
        <w:rPr>
          <w:rFonts w:asciiTheme="majorBidi" w:eastAsia="Times New Roman" w:hAnsiTheme="majorBidi" w:cstheme="majorBidi"/>
          <w:kern w:val="0"/>
          <w14:ligatures w14:val="none"/>
        </w:rPr>
        <w:br/>
        <w:t>The Bahamas, Bermuda, the British Virgin Islands, Guernsey, and the Isle of Man impose little or no tax on crypto transactions, making them attractive for structuring trusts and foundations. The Bahamas and Bermuda have no income</w:t>
      </w:r>
      <w:r w:rsidR="00B21C93">
        <w:rPr>
          <w:rFonts w:asciiTheme="majorBidi" w:eastAsia="Times New Roman" w:hAnsiTheme="majorBidi" w:cstheme="majorBidi"/>
          <w:kern w:val="0"/>
          <w14:ligatures w14:val="none"/>
        </w:rPr>
        <w:t>-</w:t>
      </w:r>
      <w:r w:rsidRPr="00B52F48">
        <w:rPr>
          <w:rFonts w:asciiTheme="majorBidi" w:eastAsia="Times New Roman" w:hAnsiTheme="majorBidi" w:cstheme="majorBidi"/>
          <w:kern w:val="0"/>
          <w14:ligatures w14:val="none"/>
        </w:rPr>
        <w:t>, capital gains</w:t>
      </w:r>
      <w:r w:rsidR="00B21C93">
        <w:rPr>
          <w:rFonts w:asciiTheme="majorBidi" w:eastAsia="Times New Roman" w:hAnsiTheme="majorBidi" w:cstheme="majorBidi"/>
          <w:kern w:val="0"/>
          <w14:ligatures w14:val="none"/>
        </w:rPr>
        <w:t>-</w:t>
      </w:r>
      <w:r w:rsidRPr="00B52F48">
        <w:rPr>
          <w:rFonts w:asciiTheme="majorBidi" w:eastAsia="Times New Roman" w:hAnsiTheme="majorBidi" w:cstheme="majorBidi"/>
          <w:kern w:val="0"/>
          <w14:ligatures w14:val="none"/>
        </w:rPr>
        <w:t>, or wealth tax on crypto. Guernsey and the Isle of Man do not tax crypto capital gains, and income tax applies only if there are local beneficiaries or income sources. Foundations generally face a 0% tax rate unless they earn</w:t>
      </w:r>
      <w:r w:rsidR="00027D50" w:rsidRPr="00782AB6">
        <w:rPr>
          <w:rFonts w:asciiTheme="majorBidi" w:eastAsia="Times New Roman" w:hAnsiTheme="majorBidi" w:cstheme="majorBidi"/>
          <w:kern w:val="0"/>
          <w14:ligatures w14:val="none"/>
        </w:rPr>
        <w:t xml:space="preserve"> taxable</w:t>
      </w:r>
      <w:r w:rsidRPr="00B52F48">
        <w:rPr>
          <w:rFonts w:asciiTheme="majorBidi" w:eastAsia="Times New Roman" w:hAnsiTheme="majorBidi" w:cstheme="majorBidi"/>
          <w:kern w:val="0"/>
          <w14:ligatures w14:val="none"/>
        </w:rPr>
        <w:t xml:space="preserve"> income. The British Virgin Islands follow a similar tax-neutral approach, making these jurisdictions favorable for crypto estate planning.</w:t>
      </w:r>
    </w:p>
    <w:p w14:paraId="51C9EE4E" w14:textId="02C1D271" w:rsidR="00B52F48" w:rsidRPr="00B52F48" w:rsidRDefault="00B52F48" w:rsidP="000A0C6B">
      <w:pPr>
        <w:spacing w:before="100" w:beforeAutospacing="1" w:after="100" w:afterAutospacing="1" w:line="240" w:lineRule="auto"/>
        <w:rPr>
          <w:rFonts w:asciiTheme="majorBidi" w:eastAsia="Times New Roman" w:hAnsiTheme="majorBidi" w:cstheme="majorBidi"/>
          <w:b/>
          <w:bCs/>
          <w:kern w:val="0"/>
          <w14:ligatures w14:val="none"/>
        </w:rPr>
      </w:pPr>
      <w:r w:rsidRPr="00B52F48">
        <w:rPr>
          <w:rFonts w:asciiTheme="majorBidi" w:eastAsia="Times New Roman" w:hAnsiTheme="majorBidi" w:cstheme="majorBidi"/>
          <w:b/>
          <w:bCs/>
          <w:kern w:val="0"/>
          <w14:ligatures w14:val="none"/>
        </w:rPr>
        <w:t>Taxable Jurisdictions</w:t>
      </w:r>
      <w:r w:rsidRPr="00B52F48">
        <w:rPr>
          <w:rFonts w:asciiTheme="majorBidi" w:eastAsia="Times New Roman" w:hAnsiTheme="majorBidi" w:cstheme="majorBidi"/>
          <w:kern w:val="0"/>
          <w14:ligatures w14:val="none"/>
        </w:rPr>
        <w:br/>
        <w:t>England and Wales, Canada, and New Zealand tax crypto trading by trusts and foundations based on residency, settlor domicile, and beneficiary taxation rules.</w:t>
      </w:r>
    </w:p>
    <w:p w14:paraId="4AC80D36" w14:textId="77777777" w:rsidR="00B52F48" w:rsidRPr="00B52F48" w:rsidRDefault="00B52F48" w:rsidP="00B52F48">
      <w:pPr>
        <w:numPr>
          <w:ilvl w:val="0"/>
          <w:numId w:val="8"/>
        </w:numPr>
        <w:spacing w:before="100" w:beforeAutospacing="1" w:after="100" w:afterAutospacing="1" w:line="240" w:lineRule="auto"/>
        <w:rPr>
          <w:rFonts w:asciiTheme="majorBidi" w:eastAsia="Times New Roman" w:hAnsiTheme="majorBidi" w:cstheme="majorBidi"/>
          <w:kern w:val="0"/>
          <w14:ligatures w14:val="none"/>
        </w:rPr>
      </w:pPr>
      <w:r w:rsidRPr="00B52F48">
        <w:rPr>
          <w:rFonts w:asciiTheme="majorBidi" w:eastAsia="Times New Roman" w:hAnsiTheme="majorBidi" w:cstheme="majorBidi"/>
          <w:b/>
          <w:bCs/>
          <w:kern w:val="0"/>
          <w14:ligatures w14:val="none"/>
        </w:rPr>
        <w:t>England and Wales:</w:t>
      </w:r>
      <w:r w:rsidRPr="00B52F48">
        <w:rPr>
          <w:rFonts w:asciiTheme="majorBidi" w:eastAsia="Times New Roman" w:hAnsiTheme="majorBidi" w:cstheme="majorBidi"/>
          <w:kern w:val="0"/>
          <w14:ligatures w14:val="none"/>
        </w:rPr>
        <w:t xml:space="preserve"> UK-resident trusts pay 45% income tax on crypto earnings and 20% capital gains tax. Non-resident trusts are exempt unless UK settlors or beneficiaries trigger tax attribution rules.</w:t>
      </w:r>
    </w:p>
    <w:p w14:paraId="77AFB984" w14:textId="18BB8058" w:rsidR="00B52F48" w:rsidRPr="00B52F48" w:rsidRDefault="00B52F48" w:rsidP="00B52F48">
      <w:pPr>
        <w:numPr>
          <w:ilvl w:val="0"/>
          <w:numId w:val="8"/>
        </w:numPr>
        <w:spacing w:before="100" w:beforeAutospacing="1" w:after="100" w:afterAutospacing="1" w:line="240" w:lineRule="auto"/>
        <w:rPr>
          <w:rFonts w:asciiTheme="majorBidi" w:eastAsia="Times New Roman" w:hAnsiTheme="majorBidi" w:cstheme="majorBidi"/>
          <w:kern w:val="0"/>
          <w14:ligatures w14:val="none"/>
        </w:rPr>
      </w:pPr>
      <w:r w:rsidRPr="00B52F48">
        <w:rPr>
          <w:rFonts w:asciiTheme="majorBidi" w:eastAsia="Times New Roman" w:hAnsiTheme="majorBidi" w:cstheme="majorBidi"/>
          <w:b/>
          <w:bCs/>
          <w:kern w:val="0"/>
          <w14:ligatures w14:val="none"/>
        </w:rPr>
        <w:t>Canada:</w:t>
      </w:r>
      <w:r w:rsidRPr="00B52F48">
        <w:rPr>
          <w:rFonts w:asciiTheme="majorBidi" w:eastAsia="Times New Roman" w:hAnsiTheme="majorBidi" w:cstheme="majorBidi"/>
          <w:kern w:val="0"/>
          <w14:ligatures w14:val="none"/>
        </w:rPr>
        <w:t xml:space="preserve"> Crypto assets transferred into a trust are taxable unless deferral provisions apply. Trusts face tax rates between 44.5% and </w:t>
      </w:r>
      <w:r w:rsidR="00027D50" w:rsidRPr="00782AB6">
        <w:rPr>
          <w:rFonts w:asciiTheme="majorBidi" w:eastAsia="Times New Roman" w:hAnsiTheme="majorBidi" w:cstheme="majorBidi"/>
          <w:kern w:val="0"/>
          <w14:ligatures w14:val="none"/>
        </w:rPr>
        <w:t>54.9% but</w:t>
      </w:r>
      <w:r w:rsidRPr="00B52F48">
        <w:rPr>
          <w:rFonts w:asciiTheme="majorBidi" w:eastAsia="Times New Roman" w:hAnsiTheme="majorBidi" w:cstheme="majorBidi"/>
          <w:kern w:val="0"/>
          <w14:ligatures w14:val="none"/>
        </w:rPr>
        <w:t xml:space="preserve"> distributing income to beneficiaries can lower the tax burden.</w:t>
      </w:r>
    </w:p>
    <w:p w14:paraId="236F20DE" w14:textId="201920A3" w:rsidR="00194603" w:rsidRPr="00B52F48" w:rsidRDefault="00B52F48" w:rsidP="00B94EA6">
      <w:pPr>
        <w:numPr>
          <w:ilvl w:val="0"/>
          <w:numId w:val="8"/>
        </w:numPr>
        <w:spacing w:before="100" w:beforeAutospacing="1" w:after="100" w:afterAutospacing="1" w:line="240" w:lineRule="auto"/>
        <w:rPr>
          <w:rFonts w:asciiTheme="majorBidi" w:eastAsia="Times New Roman" w:hAnsiTheme="majorBidi" w:cstheme="majorBidi"/>
          <w:kern w:val="0"/>
          <w14:ligatures w14:val="none"/>
        </w:rPr>
      </w:pPr>
      <w:r w:rsidRPr="00B52F48">
        <w:rPr>
          <w:rFonts w:asciiTheme="majorBidi" w:eastAsia="Times New Roman" w:hAnsiTheme="majorBidi" w:cstheme="majorBidi"/>
          <w:b/>
          <w:bCs/>
          <w:kern w:val="0"/>
          <w14:ligatures w14:val="none"/>
        </w:rPr>
        <w:t>New Zealand:</w:t>
      </w:r>
      <w:r w:rsidRPr="00B52F48">
        <w:rPr>
          <w:rFonts w:asciiTheme="majorBidi" w:eastAsia="Times New Roman" w:hAnsiTheme="majorBidi" w:cstheme="majorBidi"/>
          <w:kern w:val="0"/>
          <w14:ligatures w14:val="none"/>
        </w:rPr>
        <w:t xml:space="preserve"> Trust taxation depends on the settlor’s residency. If the settlor is a New Zealand resident, crypto profits are taxed at 33–45%. Non-resident settlors may qualify for foreign trust status, exempting them from tax on foreign crypto income. Crypto situs remains unclear, raising cross-border tax issues.</w:t>
      </w:r>
    </w:p>
    <w:p w14:paraId="48490FC3" w14:textId="6C027077" w:rsidR="00B52F48" w:rsidRPr="00782AB6" w:rsidRDefault="00194603" w:rsidP="00194603">
      <w:pPr>
        <w:spacing w:before="100" w:beforeAutospacing="1" w:after="100" w:afterAutospacing="1" w:line="240" w:lineRule="auto"/>
        <w:rPr>
          <w:rFonts w:asciiTheme="majorBidi" w:eastAsia="Times New Roman" w:hAnsiTheme="majorBidi" w:cstheme="majorBidi"/>
          <w:b/>
          <w:bCs/>
          <w:kern w:val="0"/>
          <w14:ligatures w14:val="none"/>
        </w:rPr>
      </w:pPr>
      <w:r w:rsidRPr="00782AB6">
        <w:rPr>
          <w:rFonts w:asciiTheme="majorBidi" w:eastAsia="Times New Roman" w:hAnsiTheme="majorBidi" w:cstheme="majorBidi"/>
          <w:b/>
          <w:bCs/>
          <w:kern w:val="0"/>
          <w14:ligatures w14:val="none"/>
        </w:rPr>
        <w:t>Summary of crypto holdings in trust/foundation in common law jurisdictions</w:t>
      </w:r>
    </w:p>
    <w:p w14:paraId="53673C54" w14:textId="5AF8F3AD" w:rsidR="00C02407" w:rsidRDefault="00C02407" w:rsidP="000A0C6B">
      <w:pPr>
        <w:spacing w:before="100" w:beforeAutospacing="1" w:after="100" w:afterAutospacing="1" w:line="240" w:lineRule="auto"/>
        <w:jc w:val="both"/>
        <w:rPr>
          <w:rFonts w:asciiTheme="majorBidi" w:hAnsiTheme="majorBidi" w:cstheme="majorBidi"/>
        </w:rPr>
      </w:pPr>
      <w:r w:rsidRPr="00C02407">
        <w:rPr>
          <w:rFonts w:asciiTheme="majorBidi" w:eastAsia="Times New Roman" w:hAnsiTheme="majorBidi" w:cstheme="majorBidi"/>
          <w:kern w:val="0"/>
          <w14:ligatures w14:val="none"/>
        </w:rPr>
        <w:t xml:space="preserve">Common law jurisdictions recognize crypto as property, allowing it to be held in trust and inherited. Trustees must have explicit authority to manage and delegate custody, with jurisdictions like Singapore, the Bahamas, and Guernsey recommending clear legal provisions. Inheritance challenges include verifying ownership, securing access, and determining applicable law. </w:t>
      </w:r>
      <w:r w:rsidRPr="00782AB6">
        <w:rPr>
          <w:rFonts w:asciiTheme="majorBidi" w:hAnsiTheme="majorBidi" w:cstheme="majorBidi"/>
        </w:rPr>
        <w:t>To address risks, Cayman, BVI, and the Bahamas suggest trusts and foundations, while Wyoming proposes LLCs. BVI’s VISTA trusts help separate investment control from trustees, ensuring smoother succession.</w:t>
      </w:r>
    </w:p>
    <w:p w14:paraId="451F248D" w14:textId="77777777" w:rsidR="00172C8F" w:rsidRDefault="00172C8F" w:rsidP="000A0C6B">
      <w:pPr>
        <w:spacing w:before="100" w:beforeAutospacing="1" w:after="100" w:afterAutospacing="1" w:line="240" w:lineRule="auto"/>
        <w:jc w:val="both"/>
        <w:rPr>
          <w:rFonts w:asciiTheme="majorBidi" w:hAnsiTheme="majorBidi" w:cstheme="majorBidi"/>
        </w:rPr>
      </w:pPr>
    </w:p>
    <w:p w14:paraId="20015260" w14:textId="77777777" w:rsidR="00172C8F" w:rsidRDefault="00172C8F" w:rsidP="000A0C6B">
      <w:pPr>
        <w:spacing w:before="100" w:beforeAutospacing="1" w:after="100" w:afterAutospacing="1" w:line="240" w:lineRule="auto"/>
        <w:jc w:val="both"/>
        <w:rPr>
          <w:rFonts w:asciiTheme="majorBidi" w:hAnsiTheme="majorBidi" w:cstheme="majorBidi"/>
        </w:rPr>
      </w:pPr>
    </w:p>
    <w:p w14:paraId="27492BBA" w14:textId="1D06B954" w:rsidR="00172C8F" w:rsidRPr="00B34C74" w:rsidRDefault="00172C8F" w:rsidP="00172C8F">
      <w:pPr>
        <w:spacing w:before="100" w:beforeAutospacing="1" w:after="100" w:afterAutospacing="1" w:line="240" w:lineRule="auto"/>
        <w:jc w:val="both"/>
        <w:outlineLvl w:val="2"/>
        <w:rPr>
          <w:rFonts w:asciiTheme="majorBidi" w:eastAsia="Times New Roman" w:hAnsiTheme="majorBidi" w:cstheme="majorBidi"/>
          <w:b/>
          <w:bCs/>
          <w:kern w:val="0"/>
          <w:sz w:val="28"/>
          <w:szCs w:val="28"/>
          <w14:ligatures w14:val="none"/>
        </w:rPr>
      </w:pPr>
      <w:r>
        <w:rPr>
          <w:rFonts w:asciiTheme="majorBidi" w:eastAsia="Times New Roman" w:hAnsiTheme="majorBidi" w:cstheme="majorBidi"/>
          <w:b/>
          <w:bCs/>
          <w:kern w:val="0"/>
          <w:sz w:val="28"/>
          <w:szCs w:val="28"/>
          <w14:ligatures w14:val="none"/>
        </w:rPr>
        <w:lastRenderedPageBreak/>
        <w:t>D.</w:t>
      </w:r>
      <w:r>
        <w:rPr>
          <w:rFonts w:asciiTheme="majorBidi" w:eastAsia="Times New Roman" w:hAnsiTheme="majorBidi" w:cstheme="majorBidi"/>
          <w:b/>
          <w:bCs/>
          <w:kern w:val="0"/>
          <w:sz w:val="28"/>
          <w:szCs w:val="28"/>
          <w14:ligatures w14:val="none"/>
        </w:rPr>
        <w:tab/>
      </w:r>
      <w:r w:rsidRPr="00B34C74">
        <w:rPr>
          <w:rFonts w:asciiTheme="majorBidi" w:eastAsia="Times New Roman" w:hAnsiTheme="majorBidi" w:cstheme="majorBidi"/>
          <w:b/>
          <w:bCs/>
          <w:kern w:val="0"/>
          <w:sz w:val="28"/>
          <w:szCs w:val="28"/>
          <w14:ligatures w14:val="none"/>
        </w:rPr>
        <w:t>Crypto Holdings in Trusts and Foundations: Civil Law Perspectives</w:t>
      </w:r>
    </w:p>
    <w:p w14:paraId="3D1F35B8" w14:textId="77777777" w:rsidR="00172C8F" w:rsidRPr="007120C9" w:rsidRDefault="00172C8F" w:rsidP="00172C8F">
      <w:pPr>
        <w:spacing w:before="100" w:beforeAutospacing="1" w:after="100" w:afterAutospacing="1" w:line="240" w:lineRule="auto"/>
        <w:jc w:val="both"/>
        <w:rPr>
          <w:rFonts w:asciiTheme="majorBidi" w:eastAsia="Times New Roman" w:hAnsiTheme="majorBidi" w:cstheme="majorBidi"/>
          <w:kern w:val="0"/>
          <w14:ligatures w14:val="none"/>
        </w:rPr>
      </w:pPr>
      <w:r w:rsidRPr="007120C9">
        <w:rPr>
          <w:rFonts w:asciiTheme="majorBidi" w:eastAsia="Times New Roman" w:hAnsiTheme="majorBidi" w:cstheme="majorBidi"/>
          <w:kern w:val="0"/>
          <w14:ligatures w14:val="none"/>
        </w:rPr>
        <w:t xml:space="preserve">The civil law jurisdictions covered in this book—Austria, Belgium, Cyprus, Liechtenstein, Malta, Monaco, the Netherlands, Panama, and Switzerland—share a common characteristic: </w:t>
      </w:r>
      <w:r w:rsidRPr="00AE5758">
        <w:rPr>
          <w:rFonts w:asciiTheme="majorBidi" w:eastAsia="Times New Roman" w:hAnsiTheme="majorBidi" w:cstheme="majorBidi"/>
          <w:kern w:val="0"/>
          <w14:ligatures w14:val="none"/>
        </w:rPr>
        <w:t>most do not have a domestic trust law, and not all recognize trusts.</w:t>
      </w:r>
      <w:r w:rsidRPr="007120C9">
        <w:rPr>
          <w:rFonts w:asciiTheme="majorBidi" w:eastAsia="Times New Roman" w:hAnsiTheme="majorBidi" w:cstheme="majorBidi"/>
          <w:kern w:val="0"/>
          <w14:ligatures w14:val="none"/>
        </w:rPr>
        <w:t xml:space="preserve"> Instead, these jurisdictions typically rely on </w:t>
      </w:r>
      <w:r w:rsidRPr="00AE5758">
        <w:rPr>
          <w:rFonts w:asciiTheme="majorBidi" w:eastAsia="Times New Roman" w:hAnsiTheme="majorBidi" w:cstheme="majorBidi"/>
          <w:kern w:val="0"/>
          <w14:ligatures w14:val="none"/>
        </w:rPr>
        <w:t>foundations or other legal structures</w:t>
      </w:r>
      <w:r w:rsidRPr="007120C9">
        <w:rPr>
          <w:rFonts w:asciiTheme="majorBidi" w:eastAsia="Times New Roman" w:hAnsiTheme="majorBidi" w:cstheme="majorBidi"/>
          <w:kern w:val="0"/>
          <w14:ligatures w14:val="none"/>
        </w:rPr>
        <w:t xml:space="preserve"> for wealth management and succession planning.</w:t>
      </w:r>
    </w:p>
    <w:p w14:paraId="715CA1B1" w14:textId="77777777" w:rsidR="00172C8F" w:rsidRPr="00AE5758" w:rsidRDefault="00172C8F" w:rsidP="00172C8F">
      <w:pPr>
        <w:spacing w:before="100" w:beforeAutospacing="1" w:after="100" w:afterAutospacing="1" w:line="240" w:lineRule="auto"/>
        <w:jc w:val="both"/>
        <w:rPr>
          <w:rFonts w:asciiTheme="majorBidi" w:eastAsia="Times New Roman" w:hAnsiTheme="majorBidi" w:cstheme="majorBidi"/>
          <w:kern w:val="0"/>
          <w14:ligatures w14:val="none"/>
        </w:rPr>
      </w:pPr>
      <w:r w:rsidRPr="007120C9">
        <w:rPr>
          <w:rFonts w:asciiTheme="majorBidi" w:eastAsia="Times New Roman" w:hAnsiTheme="majorBidi" w:cstheme="majorBidi"/>
          <w:kern w:val="0"/>
          <w14:ligatures w14:val="none"/>
        </w:rPr>
        <w:t xml:space="preserve">Unlike common law systems, which define </w:t>
      </w:r>
      <w:r w:rsidRPr="00AE5758">
        <w:rPr>
          <w:rFonts w:asciiTheme="majorBidi" w:eastAsia="Times New Roman" w:hAnsiTheme="majorBidi" w:cstheme="majorBidi"/>
          <w:kern w:val="0"/>
          <w14:ligatures w14:val="none"/>
        </w:rPr>
        <w:t>property through judicial precedents, civil law jurisdictions do not explicitly define crypto assets</w:t>
      </w:r>
      <w:r w:rsidRPr="007120C9">
        <w:rPr>
          <w:rFonts w:asciiTheme="majorBidi" w:eastAsia="Times New Roman" w:hAnsiTheme="majorBidi" w:cstheme="majorBidi"/>
          <w:kern w:val="0"/>
          <w14:ligatures w14:val="none"/>
        </w:rPr>
        <w:t xml:space="preserve"> but instead </w:t>
      </w:r>
      <w:r w:rsidRPr="00AE5758">
        <w:rPr>
          <w:rFonts w:asciiTheme="majorBidi" w:eastAsia="Times New Roman" w:hAnsiTheme="majorBidi" w:cstheme="majorBidi"/>
          <w:kern w:val="0"/>
          <w14:ligatures w14:val="none"/>
        </w:rPr>
        <w:t>integrate them into existing statutory laws,</w:t>
      </w:r>
      <w:r w:rsidRPr="007120C9">
        <w:rPr>
          <w:rFonts w:asciiTheme="majorBidi" w:eastAsia="Times New Roman" w:hAnsiTheme="majorBidi" w:cstheme="majorBidi"/>
          <w:kern w:val="0"/>
          <w14:ligatures w14:val="none"/>
        </w:rPr>
        <w:t xml:space="preserve"> particularly in financial regulation, taxation, and anti-money laundering (AML) compliance. Reports from </w:t>
      </w:r>
      <w:r w:rsidRPr="00AE5758">
        <w:rPr>
          <w:rFonts w:asciiTheme="majorBidi" w:eastAsia="Times New Roman" w:hAnsiTheme="majorBidi" w:cstheme="majorBidi"/>
          <w:kern w:val="0"/>
          <w14:ligatures w14:val="none"/>
        </w:rPr>
        <w:t>Austria, Belgium, and the Netherlands</w:t>
      </w:r>
      <w:r w:rsidRPr="007120C9">
        <w:rPr>
          <w:rFonts w:asciiTheme="majorBidi" w:eastAsia="Times New Roman" w:hAnsiTheme="majorBidi" w:cstheme="majorBidi"/>
          <w:kern w:val="0"/>
          <w14:ligatures w14:val="none"/>
        </w:rPr>
        <w:t xml:space="preserve"> illustrate this approach, where </w:t>
      </w:r>
      <w:r w:rsidRPr="00AE5758">
        <w:rPr>
          <w:rFonts w:asciiTheme="majorBidi" w:eastAsia="Times New Roman" w:hAnsiTheme="majorBidi" w:cstheme="majorBidi"/>
          <w:kern w:val="0"/>
          <w14:ligatures w14:val="none"/>
        </w:rPr>
        <w:t>crypto assets are regulated within general financial laws without separate legal frameworks specifically for crypto.</w:t>
      </w:r>
    </w:p>
    <w:p w14:paraId="09B3F8F1" w14:textId="77777777" w:rsidR="00172C8F" w:rsidRPr="007120C9" w:rsidRDefault="00172C8F" w:rsidP="00172C8F">
      <w:pPr>
        <w:spacing w:before="100" w:beforeAutospacing="1" w:after="100" w:afterAutospacing="1" w:line="240" w:lineRule="auto"/>
        <w:jc w:val="both"/>
        <w:rPr>
          <w:rFonts w:asciiTheme="majorBidi" w:eastAsia="Times New Roman" w:hAnsiTheme="majorBidi" w:cstheme="majorBidi"/>
          <w:kern w:val="0"/>
          <w14:ligatures w14:val="none"/>
        </w:rPr>
      </w:pPr>
      <w:r w:rsidRPr="007120C9">
        <w:rPr>
          <w:rFonts w:asciiTheme="majorBidi" w:eastAsia="Times New Roman" w:hAnsiTheme="majorBidi" w:cstheme="majorBidi"/>
          <w:kern w:val="0"/>
          <w14:ligatures w14:val="none"/>
        </w:rPr>
        <w:t xml:space="preserve">In contrast, </w:t>
      </w:r>
      <w:r w:rsidRPr="00AE5758">
        <w:rPr>
          <w:rFonts w:asciiTheme="majorBidi" w:eastAsia="Times New Roman" w:hAnsiTheme="majorBidi" w:cstheme="majorBidi"/>
          <w:kern w:val="0"/>
          <w14:ligatures w14:val="none"/>
        </w:rPr>
        <w:t>Malta and Liechtenstein have established specific regulatory frameworks</w:t>
      </w:r>
      <w:r w:rsidRPr="007120C9">
        <w:rPr>
          <w:rFonts w:asciiTheme="majorBidi" w:eastAsia="Times New Roman" w:hAnsiTheme="majorBidi" w:cstheme="majorBidi"/>
          <w:kern w:val="0"/>
          <w14:ligatures w14:val="none"/>
        </w:rPr>
        <w:t xml:space="preserve"> for crypto assets. </w:t>
      </w:r>
      <w:r w:rsidRPr="00AE5758">
        <w:rPr>
          <w:rFonts w:asciiTheme="majorBidi" w:eastAsia="Times New Roman" w:hAnsiTheme="majorBidi" w:cstheme="majorBidi"/>
          <w:kern w:val="0"/>
          <w14:ligatures w14:val="none"/>
        </w:rPr>
        <w:t>Liechtenstein’s Blockchain Act (2020)</w:t>
      </w:r>
      <w:r w:rsidRPr="007120C9">
        <w:rPr>
          <w:rFonts w:asciiTheme="majorBidi" w:eastAsia="Times New Roman" w:hAnsiTheme="majorBidi" w:cstheme="majorBidi"/>
          <w:kern w:val="0"/>
          <w14:ligatures w14:val="none"/>
        </w:rPr>
        <w:t xml:space="preserve"> provides a </w:t>
      </w:r>
      <w:r w:rsidRPr="00AE5758">
        <w:rPr>
          <w:rFonts w:asciiTheme="majorBidi" w:eastAsia="Times New Roman" w:hAnsiTheme="majorBidi" w:cstheme="majorBidi"/>
          <w:kern w:val="0"/>
          <w14:ligatures w14:val="none"/>
        </w:rPr>
        <w:t>comprehensive legal</w:t>
      </w:r>
      <w:r w:rsidRPr="007120C9">
        <w:rPr>
          <w:rFonts w:asciiTheme="majorBidi" w:eastAsia="Times New Roman" w:hAnsiTheme="majorBidi" w:cstheme="majorBidi"/>
          <w:b/>
          <w:bCs/>
          <w:kern w:val="0"/>
          <w14:ligatures w14:val="none"/>
        </w:rPr>
        <w:t xml:space="preserve"> </w:t>
      </w:r>
      <w:r w:rsidRPr="00AE5758">
        <w:rPr>
          <w:rFonts w:asciiTheme="majorBidi" w:eastAsia="Times New Roman" w:hAnsiTheme="majorBidi" w:cstheme="majorBidi"/>
          <w:kern w:val="0"/>
          <w14:ligatures w14:val="none"/>
        </w:rPr>
        <w:t>structure</w:t>
      </w:r>
      <w:r w:rsidRPr="007120C9">
        <w:rPr>
          <w:rFonts w:asciiTheme="majorBidi" w:eastAsia="Times New Roman" w:hAnsiTheme="majorBidi" w:cstheme="majorBidi"/>
          <w:kern w:val="0"/>
          <w14:ligatures w14:val="none"/>
        </w:rPr>
        <w:t xml:space="preserve"> for tokenized assets, treating them as </w:t>
      </w:r>
      <w:r w:rsidRPr="00AE5758">
        <w:rPr>
          <w:rFonts w:asciiTheme="majorBidi" w:eastAsia="Times New Roman" w:hAnsiTheme="majorBidi" w:cstheme="majorBidi"/>
          <w:kern w:val="0"/>
          <w14:ligatures w14:val="none"/>
        </w:rPr>
        <w:t>distinct legal subjects based on function</w:t>
      </w:r>
      <w:r w:rsidRPr="007120C9">
        <w:rPr>
          <w:rFonts w:asciiTheme="majorBidi" w:eastAsia="Times New Roman" w:hAnsiTheme="majorBidi" w:cstheme="majorBidi"/>
          <w:kern w:val="0"/>
          <w14:ligatures w14:val="none"/>
        </w:rPr>
        <w:t xml:space="preserve"> rather than form. Similarly, </w:t>
      </w:r>
      <w:r w:rsidRPr="00AE5758">
        <w:rPr>
          <w:rFonts w:asciiTheme="majorBidi" w:eastAsia="Times New Roman" w:hAnsiTheme="majorBidi" w:cstheme="majorBidi"/>
          <w:kern w:val="0"/>
          <w14:ligatures w14:val="none"/>
        </w:rPr>
        <w:t>Malta’s Virtual Financial Assets (VFA) Act (2018)</w:t>
      </w:r>
      <w:r w:rsidRPr="007120C9">
        <w:rPr>
          <w:rFonts w:asciiTheme="majorBidi" w:eastAsia="Times New Roman" w:hAnsiTheme="majorBidi" w:cstheme="majorBidi"/>
          <w:kern w:val="0"/>
          <w14:ligatures w14:val="none"/>
        </w:rPr>
        <w:t xml:space="preserve"> introduced </w:t>
      </w:r>
      <w:r w:rsidRPr="00AE5758">
        <w:rPr>
          <w:rFonts w:asciiTheme="majorBidi" w:eastAsia="Times New Roman" w:hAnsiTheme="majorBidi" w:cstheme="majorBidi"/>
          <w:kern w:val="0"/>
          <w14:ligatures w14:val="none"/>
        </w:rPr>
        <w:t xml:space="preserve">regulations for initial offerings, service providers, and trading activities, </w:t>
      </w:r>
      <w:r w:rsidRPr="007120C9">
        <w:rPr>
          <w:rFonts w:asciiTheme="majorBidi" w:eastAsia="Times New Roman" w:hAnsiTheme="majorBidi" w:cstheme="majorBidi"/>
          <w:kern w:val="0"/>
          <w14:ligatures w14:val="none"/>
        </w:rPr>
        <w:t>aligning with EU standards.</w:t>
      </w:r>
    </w:p>
    <w:p w14:paraId="5861EFEB" w14:textId="77777777" w:rsidR="00172C8F" w:rsidRPr="008D22CC" w:rsidRDefault="00172C8F" w:rsidP="00172C8F">
      <w:pPr>
        <w:spacing w:before="100" w:beforeAutospacing="1" w:after="100" w:afterAutospacing="1" w:line="240" w:lineRule="auto"/>
        <w:jc w:val="both"/>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According to the Cyprus</w:t>
      </w:r>
      <w:r>
        <w:rPr>
          <w:rStyle w:val="FootnoteReference"/>
          <w:rFonts w:asciiTheme="majorBidi" w:eastAsia="Times New Roman" w:hAnsiTheme="majorBidi" w:cstheme="majorBidi"/>
          <w:kern w:val="0"/>
          <w14:ligatures w14:val="none"/>
        </w:rPr>
        <w:footnoteReference w:id="20"/>
      </w:r>
      <w:r>
        <w:rPr>
          <w:rFonts w:asciiTheme="majorBidi" w:eastAsia="Times New Roman" w:hAnsiTheme="majorBidi" w:cstheme="majorBidi"/>
          <w:kern w:val="0"/>
          <w14:ligatures w14:val="none"/>
        </w:rPr>
        <w:t xml:space="preserve"> report </w:t>
      </w:r>
      <w:r w:rsidRPr="007120C9">
        <w:rPr>
          <w:rFonts w:asciiTheme="majorBidi" w:eastAsia="Times New Roman" w:hAnsiTheme="majorBidi" w:cstheme="majorBidi"/>
          <w:kern w:val="0"/>
          <w14:ligatures w14:val="none"/>
        </w:rPr>
        <w:t xml:space="preserve">Cyprus follows a different path. While it </w:t>
      </w:r>
      <w:r w:rsidRPr="00AE5758">
        <w:rPr>
          <w:rFonts w:asciiTheme="majorBidi" w:eastAsia="Times New Roman" w:hAnsiTheme="majorBidi" w:cstheme="majorBidi"/>
          <w:kern w:val="0"/>
          <w14:ligatures w14:val="none"/>
        </w:rPr>
        <w:t>does not have a statutory framework</w:t>
      </w:r>
      <w:r w:rsidRPr="007120C9">
        <w:rPr>
          <w:rFonts w:asciiTheme="majorBidi" w:eastAsia="Times New Roman" w:hAnsiTheme="majorBidi" w:cstheme="majorBidi"/>
          <w:b/>
          <w:bCs/>
          <w:kern w:val="0"/>
          <w14:ligatures w14:val="none"/>
        </w:rPr>
        <w:t xml:space="preserve"> </w:t>
      </w:r>
      <w:r w:rsidRPr="00AE5758">
        <w:rPr>
          <w:rFonts w:asciiTheme="majorBidi" w:eastAsia="Times New Roman" w:hAnsiTheme="majorBidi" w:cstheme="majorBidi"/>
          <w:kern w:val="0"/>
          <w14:ligatures w14:val="none"/>
        </w:rPr>
        <w:t>specifically for crypto, it applies English common law precedents</w:t>
      </w:r>
      <w:r w:rsidRPr="007120C9">
        <w:rPr>
          <w:rFonts w:asciiTheme="majorBidi" w:eastAsia="Times New Roman" w:hAnsiTheme="majorBidi" w:cstheme="majorBidi"/>
          <w:kern w:val="0"/>
          <w14:ligatures w14:val="none"/>
        </w:rPr>
        <w:t xml:space="preserve"> when determining the legal status of crypto assets. </w:t>
      </w:r>
      <w:r w:rsidRPr="00AE5758">
        <w:rPr>
          <w:rFonts w:asciiTheme="majorBidi" w:eastAsia="Times New Roman" w:hAnsiTheme="majorBidi" w:cstheme="majorBidi"/>
          <w:kern w:val="0"/>
          <w14:ligatures w14:val="none"/>
        </w:rPr>
        <w:t>Court rulings from England, New Zealand, and Singapore</w:t>
      </w:r>
      <w:r w:rsidRPr="007120C9">
        <w:rPr>
          <w:rFonts w:asciiTheme="majorBidi" w:eastAsia="Times New Roman" w:hAnsiTheme="majorBidi" w:cstheme="majorBidi"/>
          <w:kern w:val="0"/>
          <w14:ligatures w14:val="none"/>
        </w:rPr>
        <w:t xml:space="preserve"> serve as persuasive authority in Cyprus, making its legal approach more influenced by common law reasoning despite being a civil law jurisdiction.</w:t>
      </w:r>
    </w:p>
    <w:p w14:paraId="403DF751" w14:textId="77777777" w:rsidR="00172C8F" w:rsidRPr="009F3701" w:rsidRDefault="00172C8F" w:rsidP="00172C8F">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bookmarkStart w:id="0" w:name="_Hlk192154174"/>
      <w:r w:rsidRPr="009F3701">
        <w:rPr>
          <w:rFonts w:asciiTheme="majorBidi" w:eastAsia="Times New Roman" w:hAnsiTheme="majorBidi" w:cstheme="majorBidi"/>
          <w:b/>
          <w:bCs/>
          <w:kern w:val="0"/>
          <w14:ligatures w14:val="none"/>
        </w:rPr>
        <w:t>Inheritance Issues in Civil Law Jurisdictions</w:t>
      </w:r>
    </w:p>
    <w:p w14:paraId="2445BC50" w14:textId="77777777" w:rsidR="00172C8F" w:rsidRPr="00377B79" w:rsidRDefault="00172C8F" w:rsidP="00172C8F">
      <w:pPr>
        <w:spacing w:before="100" w:beforeAutospacing="1" w:after="100" w:afterAutospacing="1" w:line="240" w:lineRule="auto"/>
        <w:jc w:val="both"/>
        <w:rPr>
          <w:rFonts w:asciiTheme="majorBidi" w:eastAsia="Times New Roman" w:hAnsiTheme="majorBidi" w:cstheme="majorBidi"/>
          <w:kern w:val="0"/>
          <w14:ligatures w14:val="none"/>
        </w:rPr>
      </w:pPr>
      <w:r w:rsidRPr="00377B79">
        <w:rPr>
          <w:rFonts w:asciiTheme="majorBidi" w:eastAsia="Times New Roman" w:hAnsiTheme="majorBidi" w:cstheme="majorBidi"/>
          <w:kern w:val="0"/>
          <w14:ligatures w14:val="none"/>
        </w:rPr>
        <w:t xml:space="preserve">There are </w:t>
      </w:r>
      <w:r w:rsidRPr="009F3701">
        <w:rPr>
          <w:rFonts w:asciiTheme="majorBidi" w:eastAsia="Times New Roman" w:hAnsiTheme="majorBidi" w:cstheme="majorBidi"/>
          <w:kern w:val="0"/>
          <w14:ligatures w14:val="none"/>
        </w:rPr>
        <w:t>no special succession rules for crypto assets</w:t>
      </w:r>
      <w:r w:rsidRPr="00377B79">
        <w:rPr>
          <w:rFonts w:asciiTheme="majorBidi" w:eastAsia="Times New Roman" w:hAnsiTheme="majorBidi" w:cstheme="majorBidi"/>
          <w:kern w:val="0"/>
          <w14:ligatures w14:val="none"/>
        </w:rPr>
        <w:t xml:space="preserve"> in civil law jurisdictions, meaning that </w:t>
      </w:r>
      <w:r w:rsidRPr="009F3701">
        <w:rPr>
          <w:rFonts w:asciiTheme="majorBidi" w:eastAsia="Times New Roman" w:hAnsiTheme="majorBidi" w:cstheme="majorBidi"/>
          <w:kern w:val="0"/>
          <w14:ligatures w14:val="none"/>
        </w:rPr>
        <w:t>existing inheritance laws apply</w:t>
      </w:r>
      <w:r w:rsidRPr="00377B79">
        <w:rPr>
          <w:rFonts w:asciiTheme="majorBidi" w:eastAsia="Times New Roman" w:hAnsiTheme="majorBidi" w:cstheme="majorBidi"/>
          <w:kern w:val="0"/>
          <w14:ligatures w14:val="none"/>
        </w:rPr>
        <w:t xml:space="preserve">. This is emphasized in the reports from </w:t>
      </w:r>
      <w:r w:rsidRPr="009F3701">
        <w:rPr>
          <w:rFonts w:asciiTheme="majorBidi" w:eastAsia="Times New Roman" w:hAnsiTheme="majorBidi" w:cstheme="majorBidi"/>
          <w:kern w:val="0"/>
          <w14:ligatures w14:val="none"/>
        </w:rPr>
        <w:t>Austria</w:t>
      </w:r>
      <w:r w:rsidRPr="009F3701">
        <w:rPr>
          <w:rStyle w:val="FootnoteReference"/>
          <w:rFonts w:asciiTheme="majorBidi" w:eastAsia="Times New Roman" w:hAnsiTheme="majorBidi" w:cstheme="majorBidi"/>
          <w:kern w:val="0"/>
          <w14:ligatures w14:val="none"/>
        </w:rPr>
        <w:footnoteReference w:id="21"/>
      </w:r>
      <w:r w:rsidRPr="009F3701">
        <w:rPr>
          <w:rFonts w:asciiTheme="majorBidi" w:eastAsia="Times New Roman" w:hAnsiTheme="majorBidi" w:cstheme="majorBidi"/>
          <w:kern w:val="0"/>
          <w14:ligatures w14:val="none"/>
        </w:rPr>
        <w:t>,</w:t>
      </w:r>
      <w:r w:rsidRPr="00377B79">
        <w:rPr>
          <w:rFonts w:asciiTheme="majorBidi" w:eastAsia="Times New Roman" w:hAnsiTheme="majorBidi" w:cstheme="majorBidi"/>
          <w:b/>
          <w:bCs/>
          <w:kern w:val="0"/>
          <w14:ligatures w14:val="none"/>
        </w:rPr>
        <w:t xml:space="preserve"> </w:t>
      </w:r>
      <w:r w:rsidRPr="009F3701">
        <w:rPr>
          <w:rFonts w:asciiTheme="majorBidi" w:eastAsia="Times New Roman" w:hAnsiTheme="majorBidi" w:cstheme="majorBidi"/>
          <w:kern w:val="0"/>
          <w14:ligatures w14:val="none"/>
        </w:rPr>
        <w:t>Switzerland</w:t>
      </w:r>
      <w:r>
        <w:rPr>
          <w:rStyle w:val="FootnoteReference"/>
          <w:rFonts w:asciiTheme="majorBidi" w:eastAsia="Times New Roman" w:hAnsiTheme="majorBidi" w:cstheme="majorBidi"/>
          <w:kern w:val="0"/>
          <w14:ligatures w14:val="none"/>
        </w:rPr>
        <w:footnoteReference w:id="22"/>
      </w:r>
      <w:r w:rsidRPr="00377B79">
        <w:rPr>
          <w:rFonts w:asciiTheme="majorBidi" w:eastAsia="Times New Roman" w:hAnsiTheme="majorBidi" w:cstheme="majorBidi"/>
          <w:b/>
          <w:bCs/>
          <w:kern w:val="0"/>
          <w14:ligatures w14:val="none"/>
        </w:rPr>
        <w:t xml:space="preserve">, </w:t>
      </w:r>
      <w:r w:rsidRPr="009F3701">
        <w:rPr>
          <w:rFonts w:asciiTheme="majorBidi" w:eastAsia="Times New Roman" w:hAnsiTheme="majorBidi" w:cstheme="majorBidi"/>
          <w:kern w:val="0"/>
          <w14:ligatures w14:val="none"/>
        </w:rPr>
        <w:t>and Malta</w:t>
      </w:r>
      <w:r>
        <w:rPr>
          <w:rStyle w:val="FootnoteReference"/>
          <w:rFonts w:asciiTheme="majorBidi" w:eastAsia="Times New Roman" w:hAnsiTheme="majorBidi" w:cstheme="majorBidi"/>
          <w:kern w:val="0"/>
          <w14:ligatures w14:val="none"/>
        </w:rPr>
        <w:footnoteReference w:id="23"/>
      </w:r>
      <w:r w:rsidRPr="00377B79">
        <w:rPr>
          <w:rFonts w:asciiTheme="majorBidi" w:eastAsia="Times New Roman" w:hAnsiTheme="majorBidi" w:cstheme="majorBidi"/>
          <w:kern w:val="0"/>
          <w14:ligatures w14:val="none"/>
        </w:rPr>
        <w:t>, where crypto assets are treated under general succession law without specific adaptations for digital assets. As a result, inheritance follows the same legal framework as other property types, with heirs inheriting rights based on standard succession principles.</w:t>
      </w:r>
    </w:p>
    <w:p w14:paraId="22561365" w14:textId="77777777" w:rsidR="00172C8F" w:rsidRDefault="00172C8F" w:rsidP="00172C8F">
      <w:pPr>
        <w:pStyle w:val="NormalWeb"/>
        <w:jc w:val="both"/>
      </w:pPr>
      <w:r w:rsidRPr="00377B79">
        <w:rPr>
          <w:rFonts w:asciiTheme="majorBidi" w:hAnsiTheme="majorBidi" w:cstheme="majorBidi"/>
        </w:rPr>
        <w:t xml:space="preserve">The same challenges identified in </w:t>
      </w:r>
      <w:r w:rsidRPr="009F3701">
        <w:rPr>
          <w:rFonts w:asciiTheme="majorBidi" w:hAnsiTheme="majorBidi" w:cstheme="majorBidi"/>
        </w:rPr>
        <w:t>common law jurisdictions</w:t>
      </w:r>
      <w:r w:rsidRPr="00377B79">
        <w:rPr>
          <w:rFonts w:asciiTheme="majorBidi" w:hAnsiTheme="majorBidi" w:cstheme="majorBidi"/>
        </w:rPr>
        <w:t xml:space="preserve"> also appear in civil law jurisdictions, particularly </w:t>
      </w:r>
      <w:r w:rsidRPr="009F3701">
        <w:rPr>
          <w:rFonts w:asciiTheme="majorBidi" w:hAnsiTheme="majorBidi" w:cstheme="majorBidi"/>
        </w:rPr>
        <w:t>access to crypto assets</w:t>
      </w:r>
      <w:r w:rsidRPr="00377B79">
        <w:rPr>
          <w:rFonts w:asciiTheme="majorBidi" w:hAnsiTheme="majorBidi" w:cstheme="majorBidi"/>
        </w:rPr>
        <w:t xml:space="preserve">. Since private keys are required to retrieve crypto holdings, </w:t>
      </w:r>
      <w:r w:rsidRPr="009F3701">
        <w:rPr>
          <w:rFonts w:asciiTheme="majorBidi" w:hAnsiTheme="majorBidi" w:cstheme="majorBidi"/>
        </w:rPr>
        <w:t xml:space="preserve">without proper planning, these assets may become permanently </w:t>
      </w:r>
      <w:r w:rsidRPr="009F3701">
        <w:rPr>
          <w:rFonts w:asciiTheme="majorBidi" w:hAnsiTheme="majorBidi" w:cstheme="majorBidi"/>
        </w:rPr>
        <w:lastRenderedPageBreak/>
        <w:t>inaccessible.</w:t>
      </w:r>
      <w:r w:rsidRPr="00377B79">
        <w:rPr>
          <w:rFonts w:asciiTheme="majorBidi" w:hAnsiTheme="majorBidi" w:cstheme="majorBidi"/>
        </w:rPr>
        <w:t xml:space="preserve"> To address this, </w:t>
      </w:r>
      <w:r w:rsidRPr="009F3701">
        <w:rPr>
          <w:rFonts w:asciiTheme="majorBidi" w:hAnsiTheme="majorBidi" w:cstheme="majorBidi"/>
        </w:rPr>
        <w:t>Belgium</w:t>
      </w:r>
      <w:r>
        <w:rPr>
          <w:rStyle w:val="FootnoteReference"/>
          <w:rFonts w:asciiTheme="majorBidi" w:hAnsiTheme="majorBidi" w:cstheme="majorBidi"/>
          <w:b/>
          <w:bCs/>
        </w:rPr>
        <w:footnoteReference w:id="24"/>
      </w:r>
      <w:r w:rsidRPr="00377B79">
        <w:rPr>
          <w:rFonts w:asciiTheme="majorBidi" w:hAnsiTheme="majorBidi" w:cstheme="majorBidi"/>
        </w:rPr>
        <w:t xml:space="preserve"> recommends appointing a </w:t>
      </w:r>
      <w:r w:rsidRPr="009F3701">
        <w:rPr>
          <w:rFonts w:asciiTheme="majorBidi" w:hAnsiTheme="majorBidi" w:cstheme="majorBidi"/>
        </w:rPr>
        <w:t>digital executor</w:t>
      </w:r>
      <w:r w:rsidRPr="00377B79">
        <w:rPr>
          <w:rFonts w:asciiTheme="majorBidi" w:hAnsiTheme="majorBidi" w:cstheme="majorBidi"/>
        </w:rPr>
        <w:t xml:space="preserve"> in a will to ensure that heirs can access crypto holdings. </w:t>
      </w:r>
      <w:r w:rsidRPr="009F3701">
        <w:rPr>
          <w:rFonts w:asciiTheme="majorBidi" w:hAnsiTheme="majorBidi" w:cstheme="majorBidi"/>
        </w:rPr>
        <w:t>Liechtenstein</w:t>
      </w:r>
      <w:r>
        <w:rPr>
          <w:rStyle w:val="FootnoteReference"/>
          <w:rFonts w:asciiTheme="majorBidi" w:hAnsiTheme="majorBidi" w:cstheme="majorBidi"/>
        </w:rPr>
        <w:footnoteReference w:id="25"/>
      </w:r>
      <w:r w:rsidRPr="00377B79">
        <w:rPr>
          <w:rFonts w:asciiTheme="majorBidi" w:hAnsiTheme="majorBidi" w:cstheme="majorBidi"/>
        </w:rPr>
        <w:t xml:space="preserve">, on the other hand, has adopted a </w:t>
      </w:r>
      <w:r w:rsidRPr="009F3701">
        <w:rPr>
          <w:rFonts w:asciiTheme="majorBidi" w:hAnsiTheme="majorBidi" w:cstheme="majorBidi"/>
        </w:rPr>
        <w:t>more structured approach</w:t>
      </w:r>
      <w:r w:rsidRPr="00377B79">
        <w:rPr>
          <w:rFonts w:asciiTheme="majorBidi" w:hAnsiTheme="majorBidi" w:cstheme="majorBidi"/>
        </w:rPr>
        <w:t xml:space="preserve"> through its </w:t>
      </w:r>
      <w:r w:rsidRPr="009F3701">
        <w:rPr>
          <w:rFonts w:asciiTheme="majorBidi" w:hAnsiTheme="majorBidi" w:cstheme="majorBidi"/>
        </w:rPr>
        <w:t>foundation system</w:t>
      </w:r>
      <w:r w:rsidRPr="00377B79">
        <w:rPr>
          <w:rFonts w:asciiTheme="majorBidi" w:hAnsiTheme="majorBidi" w:cstheme="majorBidi"/>
        </w:rPr>
        <w:t xml:space="preserve">, which can incorporate </w:t>
      </w:r>
      <w:r w:rsidRPr="009F3701">
        <w:rPr>
          <w:rFonts w:asciiTheme="majorBidi" w:hAnsiTheme="majorBidi" w:cstheme="majorBidi"/>
        </w:rPr>
        <w:t>bank custody solutions</w:t>
      </w:r>
      <w:r w:rsidRPr="00377B79">
        <w:rPr>
          <w:rFonts w:asciiTheme="majorBidi" w:hAnsiTheme="majorBidi" w:cstheme="majorBidi"/>
        </w:rPr>
        <w:t xml:space="preserve"> to safeguard digital assets for inheritance purposes.</w:t>
      </w:r>
      <w:r w:rsidRPr="007E20E8">
        <w:t xml:space="preserve"> </w:t>
      </w:r>
    </w:p>
    <w:p w14:paraId="5B32C45C" w14:textId="77777777" w:rsidR="00172C8F" w:rsidRPr="007E20E8" w:rsidRDefault="00172C8F" w:rsidP="00172C8F">
      <w:pPr>
        <w:pStyle w:val="NormalWeb"/>
        <w:jc w:val="both"/>
      </w:pPr>
      <w:r>
        <w:t>Beyond access concerns, forced heirship rules and inheritance taxation create additional challenges for crypto succession in civil law jurisdictions. The respective country reports of Cyprus, Belgium, and Monaco highlight forced heirship restrictions, which limit testamentary freedom by reserving a portion of the estate for certain heirs. The Cyprus report</w:t>
      </w:r>
      <w:r>
        <w:rPr>
          <w:rStyle w:val="FootnoteReference"/>
        </w:rPr>
        <w:footnoteReference w:id="26"/>
      </w:r>
      <w:r>
        <w:t xml:space="preserve"> notes that EU Regulation 650/12 allows individuals to elect the law of their nationality to govern their estate, potentially bypassing forced heirship rules.</w:t>
      </w:r>
      <w:r>
        <w:rPr>
          <w:rFonts w:asciiTheme="majorBidi" w:hAnsiTheme="majorBidi" w:cstheme="majorBidi"/>
        </w:rPr>
        <w:tab/>
      </w:r>
    </w:p>
    <w:p w14:paraId="45A3DFE1" w14:textId="77777777" w:rsidR="00172C8F" w:rsidRPr="008D22CC" w:rsidRDefault="00172C8F" w:rsidP="00172C8F">
      <w:pPr>
        <w:spacing w:before="100" w:beforeAutospacing="1" w:after="100" w:afterAutospacing="1" w:line="240" w:lineRule="auto"/>
        <w:jc w:val="both"/>
        <w:rPr>
          <w:rFonts w:asciiTheme="majorBidi" w:eastAsia="Times New Roman" w:hAnsiTheme="majorBidi" w:cstheme="majorBidi"/>
          <w:kern w:val="0"/>
          <w14:ligatures w14:val="none"/>
        </w:rPr>
      </w:pPr>
      <w:r w:rsidRPr="00CB0E01">
        <w:rPr>
          <w:rFonts w:asciiTheme="majorBidi" w:eastAsia="Times New Roman" w:hAnsiTheme="majorBidi" w:cstheme="majorBidi"/>
          <w:kern w:val="0"/>
          <w14:ligatures w14:val="none"/>
        </w:rPr>
        <w:t>Inheritance taxation</w:t>
      </w:r>
      <w:r w:rsidRPr="00377B79">
        <w:rPr>
          <w:rFonts w:asciiTheme="majorBidi" w:eastAsia="Times New Roman" w:hAnsiTheme="majorBidi" w:cstheme="majorBidi"/>
          <w:kern w:val="0"/>
          <w14:ligatures w14:val="none"/>
        </w:rPr>
        <w:t xml:space="preserve"> further complicates crypto succession in some jurisdictions. The Netherlands</w:t>
      </w:r>
      <w:r>
        <w:rPr>
          <w:rStyle w:val="FootnoteReference"/>
          <w:rFonts w:asciiTheme="majorBidi" w:eastAsia="Times New Roman" w:hAnsiTheme="majorBidi" w:cstheme="majorBidi"/>
          <w:kern w:val="0"/>
          <w14:ligatures w14:val="none"/>
        </w:rPr>
        <w:footnoteReference w:id="27"/>
      </w:r>
      <w:r w:rsidRPr="00377B79">
        <w:rPr>
          <w:rFonts w:asciiTheme="majorBidi" w:eastAsia="Times New Roman" w:hAnsiTheme="majorBidi" w:cstheme="majorBidi"/>
          <w:kern w:val="0"/>
          <w14:ligatures w14:val="none"/>
        </w:rPr>
        <w:t xml:space="preserve"> and Belgium</w:t>
      </w:r>
      <w:r w:rsidRPr="00377B79">
        <w:rPr>
          <w:rFonts w:asciiTheme="majorBidi" w:eastAsia="Times New Roman" w:hAnsiTheme="majorBidi" w:cstheme="majorBidi"/>
          <w:b/>
          <w:bCs/>
          <w:kern w:val="0"/>
          <w14:ligatures w14:val="none"/>
        </w:rPr>
        <w:t xml:space="preserve"> </w:t>
      </w:r>
      <w:r w:rsidRPr="00CB0E01">
        <w:rPr>
          <w:rFonts w:asciiTheme="majorBidi" w:eastAsia="Times New Roman" w:hAnsiTheme="majorBidi" w:cstheme="majorBidi"/>
          <w:kern w:val="0"/>
          <w14:ligatures w14:val="none"/>
        </w:rPr>
        <w:t xml:space="preserve">reports </w:t>
      </w:r>
      <w:r w:rsidRPr="00377B79">
        <w:rPr>
          <w:rFonts w:asciiTheme="majorBidi" w:eastAsia="Times New Roman" w:hAnsiTheme="majorBidi" w:cstheme="majorBidi"/>
          <w:kern w:val="0"/>
          <w14:ligatures w14:val="none"/>
        </w:rPr>
        <w:t xml:space="preserve">provide extensive analysis of taxation on inherited crypto assets, outlining how transfer taxes, gift taxes, or capital gains taxes may apply depending on the legal structure used for holding crypto. In contrast, </w:t>
      </w:r>
      <w:r w:rsidRPr="00CB0E01">
        <w:rPr>
          <w:rFonts w:asciiTheme="majorBidi" w:eastAsia="Times New Roman" w:hAnsiTheme="majorBidi" w:cstheme="majorBidi"/>
          <w:kern w:val="0"/>
          <w14:ligatures w14:val="none"/>
        </w:rPr>
        <w:t>Panama</w:t>
      </w:r>
      <w:r>
        <w:rPr>
          <w:rStyle w:val="FootnoteReference"/>
          <w:rFonts w:asciiTheme="majorBidi" w:eastAsia="Times New Roman" w:hAnsiTheme="majorBidi" w:cstheme="majorBidi"/>
          <w:kern w:val="0"/>
          <w14:ligatures w14:val="none"/>
        </w:rPr>
        <w:footnoteReference w:id="28"/>
      </w:r>
      <w:r w:rsidRPr="00CB0E01">
        <w:rPr>
          <w:rFonts w:asciiTheme="majorBidi" w:eastAsia="Times New Roman" w:hAnsiTheme="majorBidi" w:cstheme="majorBidi"/>
          <w:kern w:val="0"/>
          <w14:ligatures w14:val="none"/>
        </w:rPr>
        <w:t xml:space="preserve"> </w:t>
      </w:r>
      <w:r w:rsidRPr="00377B79">
        <w:rPr>
          <w:rFonts w:asciiTheme="majorBidi" w:eastAsia="Times New Roman" w:hAnsiTheme="majorBidi" w:cstheme="majorBidi"/>
          <w:kern w:val="0"/>
          <w14:ligatures w14:val="none"/>
        </w:rPr>
        <w:t xml:space="preserve">imposes </w:t>
      </w:r>
      <w:r w:rsidRPr="00CB0E01">
        <w:rPr>
          <w:rFonts w:asciiTheme="majorBidi" w:eastAsia="Times New Roman" w:hAnsiTheme="majorBidi" w:cstheme="majorBidi"/>
          <w:kern w:val="0"/>
          <w14:ligatures w14:val="none"/>
        </w:rPr>
        <w:t>no inheritance taxation and no forced heirship rules,</w:t>
      </w:r>
      <w:r w:rsidRPr="00377B79">
        <w:rPr>
          <w:rFonts w:asciiTheme="majorBidi" w:eastAsia="Times New Roman" w:hAnsiTheme="majorBidi" w:cstheme="majorBidi"/>
          <w:kern w:val="0"/>
          <w14:ligatures w14:val="none"/>
        </w:rPr>
        <w:t xml:space="preserve"> offering greater flexibility for estate planning.</w:t>
      </w:r>
    </w:p>
    <w:p w14:paraId="3AD08824" w14:textId="77777777" w:rsidR="00172C8F" w:rsidRPr="00377B79" w:rsidRDefault="00172C8F" w:rsidP="00172C8F">
      <w:pPr>
        <w:spacing w:before="100" w:beforeAutospacing="1" w:after="100" w:afterAutospacing="1" w:line="240" w:lineRule="auto"/>
        <w:jc w:val="both"/>
        <w:rPr>
          <w:rFonts w:asciiTheme="majorBidi" w:eastAsia="Times New Roman" w:hAnsiTheme="majorBidi" w:cstheme="majorBidi"/>
          <w:kern w:val="0"/>
          <w14:ligatures w14:val="none"/>
        </w:rPr>
      </w:pPr>
      <w:r w:rsidRPr="008D22CC">
        <w:rPr>
          <w:rFonts w:asciiTheme="majorBidi" w:hAnsiTheme="majorBidi" w:cstheme="majorBidi"/>
        </w:rPr>
        <w:t xml:space="preserve">To address </w:t>
      </w:r>
      <w:r w:rsidRPr="008D22CC">
        <w:rPr>
          <w:rStyle w:val="Strong"/>
          <w:rFonts w:asciiTheme="majorBidi" w:hAnsiTheme="majorBidi" w:cstheme="majorBidi"/>
        </w:rPr>
        <w:t>inheritance challenges</w:t>
      </w:r>
      <w:r w:rsidRPr="008D22CC">
        <w:rPr>
          <w:rFonts w:asciiTheme="majorBidi" w:hAnsiTheme="majorBidi" w:cstheme="majorBidi"/>
        </w:rPr>
        <w:t xml:space="preserve">—including </w:t>
      </w:r>
      <w:r w:rsidRPr="008D22CC">
        <w:rPr>
          <w:rStyle w:val="Strong"/>
          <w:rFonts w:asciiTheme="majorBidi" w:hAnsiTheme="majorBidi" w:cstheme="majorBidi"/>
        </w:rPr>
        <w:t>access issues, inheritance taxation, and forced heirship rules</w:t>
      </w:r>
      <w:r w:rsidRPr="008D22CC">
        <w:rPr>
          <w:rFonts w:asciiTheme="majorBidi" w:hAnsiTheme="majorBidi" w:cstheme="majorBidi"/>
        </w:rPr>
        <w:t xml:space="preserve">—the reports from civil law jurisdictions recommend various </w:t>
      </w:r>
      <w:r w:rsidRPr="008D22CC">
        <w:rPr>
          <w:rStyle w:val="Strong"/>
          <w:rFonts w:asciiTheme="majorBidi" w:hAnsiTheme="majorBidi" w:cstheme="majorBidi"/>
        </w:rPr>
        <w:t>legal structures</w:t>
      </w:r>
      <w:r w:rsidRPr="008D22CC">
        <w:rPr>
          <w:rFonts w:asciiTheme="majorBidi" w:hAnsiTheme="majorBidi" w:cstheme="majorBidi"/>
        </w:rPr>
        <w:t xml:space="preserve"> for managing crypto inheritance. Some, like </w:t>
      </w:r>
      <w:r w:rsidRPr="00377B79">
        <w:rPr>
          <w:rFonts w:asciiTheme="majorBidi" w:eastAsia="Times New Roman" w:hAnsiTheme="majorBidi" w:cstheme="majorBidi"/>
          <w:kern w:val="0"/>
          <w14:ligatures w14:val="none"/>
        </w:rPr>
        <w:t>Panama, Liechtenstein, and Cyprus, recognize common law trusts, with Cyprus particularly</w:t>
      </w:r>
      <w:r w:rsidRPr="00377B79">
        <w:rPr>
          <w:rFonts w:asciiTheme="majorBidi" w:eastAsia="Times New Roman" w:hAnsiTheme="majorBidi" w:cstheme="majorBidi"/>
          <w:b/>
          <w:bCs/>
          <w:kern w:val="0"/>
          <w14:ligatures w14:val="none"/>
        </w:rPr>
        <w:t xml:space="preserve"> </w:t>
      </w:r>
      <w:r w:rsidRPr="00377B79">
        <w:rPr>
          <w:rFonts w:asciiTheme="majorBidi" w:eastAsia="Times New Roman" w:hAnsiTheme="majorBidi" w:cstheme="majorBidi"/>
          <w:kern w:val="0"/>
          <w14:ligatures w14:val="none"/>
        </w:rPr>
        <w:t>favoring them as a succession vehicle. Others, such as Belgium and Monaco</w:t>
      </w:r>
      <w:r>
        <w:rPr>
          <w:rStyle w:val="FootnoteReference"/>
          <w:rFonts w:asciiTheme="majorBidi" w:eastAsia="Times New Roman" w:hAnsiTheme="majorBidi" w:cstheme="majorBidi"/>
          <w:kern w:val="0"/>
          <w14:ligatures w14:val="none"/>
        </w:rPr>
        <w:footnoteReference w:id="29"/>
      </w:r>
      <w:r w:rsidRPr="00377B79">
        <w:rPr>
          <w:rFonts w:asciiTheme="majorBidi" w:eastAsia="Times New Roman" w:hAnsiTheme="majorBidi" w:cstheme="majorBidi"/>
          <w:kern w:val="0"/>
          <w14:ligatures w14:val="none"/>
        </w:rPr>
        <w:t>, recognize</w:t>
      </w:r>
      <w:r w:rsidRPr="00377B79">
        <w:rPr>
          <w:rFonts w:asciiTheme="majorBidi" w:eastAsia="Times New Roman" w:hAnsiTheme="majorBidi" w:cstheme="majorBidi"/>
          <w:b/>
          <w:bCs/>
          <w:kern w:val="0"/>
          <w14:ligatures w14:val="none"/>
        </w:rPr>
        <w:t xml:space="preserve"> </w:t>
      </w:r>
      <w:r w:rsidRPr="00377B79">
        <w:rPr>
          <w:rFonts w:asciiTheme="majorBidi" w:eastAsia="Times New Roman" w:hAnsiTheme="majorBidi" w:cstheme="majorBidi"/>
          <w:kern w:val="0"/>
          <w14:ligatures w14:val="none"/>
        </w:rPr>
        <w:t>foreign common law trusts but do not have a domestic trust law. Meanwhile, Austria</w:t>
      </w:r>
      <w:r w:rsidRPr="00377B79">
        <w:rPr>
          <w:rFonts w:asciiTheme="majorBidi" w:eastAsia="Times New Roman" w:hAnsiTheme="majorBidi" w:cstheme="majorBidi"/>
          <w:b/>
          <w:bCs/>
          <w:kern w:val="0"/>
          <w14:ligatures w14:val="none"/>
        </w:rPr>
        <w:t xml:space="preserve"> </w:t>
      </w:r>
      <w:r w:rsidRPr="00377B79">
        <w:rPr>
          <w:rFonts w:asciiTheme="majorBidi" w:eastAsia="Times New Roman" w:hAnsiTheme="majorBidi" w:cstheme="majorBidi"/>
          <w:kern w:val="0"/>
          <w14:ligatures w14:val="none"/>
        </w:rPr>
        <w:t>and Switzerland primarily rely on foundations as the preferred legal structure for holding and transferring crypto assets.</w:t>
      </w:r>
    </w:p>
    <w:bookmarkEnd w:id="0"/>
    <w:p w14:paraId="6D0398E7" w14:textId="77777777" w:rsidR="00172C8F" w:rsidRPr="00167AD5" w:rsidRDefault="00172C8F" w:rsidP="00172C8F">
      <w:pPr>
        <w:spacing w:before="100" w:beforeAutospacing="1" w:after="100" w:afterAutospacing="1" w:line="240" w:lineRule="auto"/>
        <w:jc w:val="both"/>
        <w:outlineLvl w:val="2"/>
        <w:rPr>
          <w:rFonts w:asciiTheme="majorBidi" w:eastAsia="Times New Roman" w:hAnsiTheme="majorBidi" w:cstheme="majorBidi"/>
          <w:b/>
          <w:bCs/>
          <w:kern w:val="0"/>
          <w14:ligatures w14:val="none"/>
        </w:rPr>
      </w:pPr>
      <w:r w:rsidRPr="00167AD5">
        <w:rPr>
          <w:rFonts w:asciiTheme="majorBidi" w:eastAsia="Times New Roman" w:hAnsiTheme="majorBidi" w:cstheme="majorBidi"/>
          <w:b/>
          <w:bCs/>
          <w:kern w:val="0"/>
          <w14:ligatures w14:val="none"/>
        </w:rPr>
        <w:t>Consequences of Trusts and Foundations Acquiring Crypto Assets</w:t>
      </w:r>
    </w:p>
    <w:p w14:paraId="3E0DCF3A" w14:textId="77777777" w:rsidR="00172C8F" w:rsidRPr="008D22CC" w:rsidRDefault="00172C8F" w:rsidP="00172C8F">
      <w:pPr>
        <w:spacing w:before="100" w:beforeAutospacing="1" w:after="100" w:afterAutospacing="1" w:line="240" w:lineRule="auto"/>
        <w:jc w:val="both"/>
        <w:outlineLvl w:val="2"/>
        <w:rPr>
          <w:rFonts w:asciiTheme="majorBidi" w:eastAsia="Times New Roman" w:hAnsiTheme="majorBidi" w:cstheme="majorBidi"/>
          <w:b/>
          <w:bCs/>
          <w:kern w:val="0"/>
          <w:sz w:val="27"/>
          <w:szCs w:val="27"/>
          <w14:ligatures w14:val="none"/>
        </w:rPr>
      </w:pPr>
      <w:r w:rsidRPr="008D22CC">
        <w:rPr>
          <w:rFonts w:asciiTheme="majorBidi" w:hAnsiTheme="majorBidi" w:cstheme="majorBidi"/>
        </w:rPr>
        <w:t>The legal and practical aspects of trusts and foundations acquiring crypto assets raise questions about regulatory, governance, and tax considerations.</w:t>
      </w:r>
    </w:p>
    <w:p w14:paraId="32D3C0E8" w14:textId="77777777" w:rsidR="00172C8F" w:rsidRPr="007F729C" w:rsidRDefault="00172C8F" w:rsidP="00172C8F">
      <w:pPr>
        <w:spacing w:before="100" w:beforeAutospacing="1" w:after="100" w:afterAutospacing="1" w:line="240" w:lineRule="auto"/>
        <w:jc w:val="both"/>
        <w:outlineLvl w:val="2"/>
        <w:rPr>
          <w:rFonts w:asciiTheme="majorBidi" w:eastAsia="Times New Roman" w:hAnsiTheme="majorBidi" w:cstheme="majorBidi"/>
          <w:b/>
          <w:bCs/>
          <w:kern w:val="0"/>
          <w:sz w:val="27"/>
          <w:szCs w:val="27"/>
          <w14:ligatures w14:val="none"/>
        </w:rPr>
      </w:pPr>
      <w:r w:rsidRPr="007F729C">
        <w:rPr>
          <w:rFonts w:asciiTheme="majorBidi" w:eastAsia="Times New Roman" w:hAnsiTheme="majorBidi" w:cstheme="majorBidi"/>
          <w:kern w:val="0"/>
          <w14:ligatures w14:val="none"/>
        </w:rPr>
        <w:t>According to the Netherlands report, foundations must comply with financial regulations, licensing, and anti-money laundering requirements while ensuring proper governance, risk management, and secure storage. The Malta report states that both trusts and foundations can hold crypto assets, though trustees may need a Virtual Financial Assets service provider license. While foundations cannot engage in commercial trading, they can own shares and issue tokens under specific conditions.</w:t>
      </w:r>
    </w:p>
    <w:p w14:paraId="009C6026" w14:textId="77777777" w:rsidR="00172C8F" w:rsidRPr="007F729C" w:rsidRDefault="00172C8F" w:rsidP="00172C8F">
      <w:pPr>
        <w:spacing w:before="100" w:beforeAutospacing="1" w:after="100" w:afterAutospacing="1" w:line="240" w:lineRule="auto"/>
        <w:jc w:val="both"/>
        <w:rPr>
          <w:rFonts w:asciiTheme="majorBidi" w:eastAsia="Times New Roman" w:hAnsiTheme="majorBidi" w:cstheme="majorBidi"/>
          <w:kern w:val="0"/>
          <w14:ligatures w14:val="none"/>
        </w:rPr>
      </w:pPr>
      <w:r w:rsidRPr="007F729C">
        <w:rPr>
          <w:rFonts w:asciiTheme="majorBidi" w:eastAsia="Times New Roman" w:hAnsiTheme="majorBidi" w:cstheme="majorBidi"/>
          <w:kern w:val="0"/>
          <w14:ligatures w14:val="none"/>
        </w:rPr>
        <w:lastRenderedPageBreak/>
        <w:t>In Panama, trusts and private interest foundations provide a way to manage crypto assets despite the absence of clear regulations. Concerns include asset transfers, private key custody, and liability for cyber risks. The Cyprus report notes that investment rules apply to trusts, requiring trust deeds to permit crypto holdings, while foundations have restrictions on trading activities.</w:t>
      </w:r>
    </w:p>
    <w:p w14:paraId="0A213972" w14:textId="77777777" w:rsidR="00172C8F" w:rsidRPr="008D22CC" w:rsidRDefault="00172C8F" w:rsidP="00172C8F">
      <w:pPr>
        <w:spacing w:before="100" w:beforeAutospacing="1" w:after="100" w:afterAutospacing="1" w:line="240" w:lineRule="auto"/>
        <w:jc w:val="both"/>
        <w:rPr>
          <w:rFonts w:asciiTheme="majorBidi" w:eastAsia="Times New Roman" w:hAnsiTheme="majorBidi" w:cstheme="majorBidi"/>
          <w:kern w:val="0"/>
          <w14:ligatures w14:val="none"/>
        </w:rPr>
      </w:pPr>
      <w:r w:rsidRPr="007F729C">
        <w:rPr>
          <w:rFonts w:asciiTheme="majorBidi" w:eastAsia="Times New Roman" w:hAnsiTheme="majorBidi" w:cstheme="majorBidi"/>
          <w:kern w:val="0"/>
          <w14:ligatures w14:val="none"/>
        </w:rPr>
        <w:t>In Belgium, foreign trusts are recognized, but their tax treatment remains uncertain. Belgian private foundations may hold crypto assets if they align with their non-commercial purpose, though forced heirship rules and significant crypto exposure may pose legal challenges.</w:t>
      </w:r>
    </w:p>
    <w:p w14:paraId="37A58143" w14:textId="77777777" w:rsidR="00172C8F" w:rsidRPr="008D22CC" w:rsidRDefault="00172C8F" w:rsidP="00172C8F">
      <w:pPr>
        <w:spacing w:before="100" w:beforeAutospacing="1" w:after="100" w:afterAutospacing="1" w:line="240" w:lineRule="auto"/>
        <w:jc w:val="both"/>
        <w:rPr>
          <w:rFonts w:asciiTheme="majorBidi" w:eastAsia="Times New Roman" w:hAnsiTheme="majorBidi" w:cstheme="majorBidi"/>
          <w:b/>
          <w:bCs/>
          <w:kern w:val="0"/>
          <w14:ligatures w14:val="none"/>
        </w:rPr>
      </w:pPr>
      <w:r w:rsidRPr="008D22CC">
        <w:rPr>
          <w:rFonts w:asciiTheme="majorBidi" w:eastAsia="Times New Roman" w:hAnsiTheme="majorBidi" w:cstheme="majorBidi"/>
          <w:b/>
          <w:bCs/>
          <w:kern w:val="0"/>
          <w14:ligatures w14:val="none"/>
        </w:rPr>
        <w:t xml:space="preserve">Tax consequences </w:t>
      </w:r>
      <w:r>
        <w:rPr>
          <w:rFonts w:asciiTheme="majorBidi" w:eastAsia="Times New Roman" w:hAnsiTheme="majorBidi" w:cstheme="majorBidi"/>
          <w:b/>
          <w:bCs/>
          <w:kern w:val="0"/>
          <w14:ligatures w14:val="none"/>
        </w:rPr>
        <w:t>of</w:t>
      </w:r>
      <w:r w:rsidRPr="008D22CC">
        <w:rPr>
          <w:rFonts w:asciiTheme="majorBidi" w:eastAsia="Times New Roman" w:hAnsiTheme="majorBidi" w:cstheme="majorBidi"/>
          <w:b/>
          <w:bCs/>
          <w:kern w:val="0"/>
          <w14:ligatures w14:val="none"/>
        </w:rPr>
        <w:t xml:space="preserve"> transferring crypto to trust or foundation</w:t>
      </w:r>
    </w:p>
    <w:p w14:paraId="635CCB2E" w14:textId="77777777" w:rsidR="00172C8F" w:rsidRPr="008D22CC" w:rsidRDefault="00172C8F" w:rsidP="00172C8F">
      <w:pPr>
        <w:spacing w:before="100" w:beforeAutospacing="1" w:after="100" w:afterAutospacing="1" w:line="240" w:lineRule="auto"/>
        <w:jc w:val="both"/>
        <w:rPr>
          <w:rFonts w:asciiTheme="majorBidi" w:eastAsia="Times New Roman" w:hAnsiTheme="majorBidi" w:cstheme="majorBidi"/>
          <w:b/>
          <w:bCs/>
          <w:kern w:val="0"/>
          <w14:ligatures w14:val="none"/>
        </w:rPr>
      </w:pPr>
      <w:r w:rsidRPr="008D22CC">
        <w:rPr>
          <w:rFonts w:asciiTheme="majorBidi" w:hAnsiTheme="majorBidi" w:cstheme="majorBidi"/>
        </w:rPr>
        <w:t>When it comes to the taxation of crypto asset transfers to trusts or foundations, civil law jurisdictions take different approaches. Some, such as Austria, Belgium, Monaco, and the Netherlands, impose transfer, gift, or registration taxes under certain conditions. Others, including Switzerland, Malta, Cyprus, and Panama, generally do not tax such transfers unless specific factors, such as securities classification or foreign tax implications, apply.</w:t>
      </w:r>
    </w:p>
    <w:p w14:paraId="79EB9227" w14:textId="77777777" w:rsidR="00172C8F" w:rsidRPr="008D22CC" w:rsidRDefault="00172C8F" w:rsidP="00172C8F">
      <w:pPr>
        <w:jc w:val="both"/>
        <w:rPr>
          <w:rFonts w:asciiTheme="majorBidi" w:hAnsiTheme="majorBidi" w:cstheme="majorBidi"/>
          <w:b/>
          <w:bCs/>
        </w:rPr>
      </w:pPr>
      <w:r w:rsidRPr="008D22CC">
        <w:rPr>
          <w:rFonts w:asciiTheme="majorBidi" w:hAnsiTheme="majorBidi" w:cstheme="majorBidi"/>
          <w:b/>
          <w:bCs/>
        </w:rPr>
        <w:t xml:space="preserve">Taxation on trading crypto in foundation </w:t>
      </w:r>
      <w:r>
        <w:rPr>
          <w:rFonts w:asciiTheme="majorBidi" w:hAnsiTheme="majorBidi" w:cstheme="majorBidi"/>
          <w:b/>
          <w:bCs/>
        </w:rPr>
        <w:t xml:space="preserve">or </w:t>
      </w:r>
      <w:r w:rsidRPr="008D22CC">
        <w:rPr>
          <w:rFonts w:asciiTheme="majorBidi" w:hAnsiTheme="majorBidi" w:cstheme="majorBidi"/>
          <w:b/>
          <w:bCs/>
        </w:rPr>
        <w:t xml:space="preserve">trust </w:t>
      </w:r>
    </w:p>
    <w:p w14:paraId="5D52D854" w14:textId="77777777" w:rsidR="00172C8F" w:rsidRPr="008D22CC" w:rsidRDefault="00172C8F" w:rsidP="00172C8F">
      <w:pPr>
        <w:jc w:val="both"/>
        <w:rPr>
          <w:rFonts w:asciiTheme="majorBidi" w:hAnsiTheme="majorBidi" w:cstheme="majorBidi"/>
          <w:b/>
          <w:bCs/>
        </w:rPr>
      </w:pPr>
      <w:r w:rsidRPr="008D22CC">
        <w:rPr>
          <w:rFonts w:asciiTheme="majorBidi" w:hAnsiTheme="majorBidi" w:cstheme="majorBidi"/>
        </w:rPr>
        <w:t xml:space="preserve">In civil law jurisdictions, the taxation of income from crypto assets held in trusts or foundations varies significantly. In </w:t>
      </w:r>
      <w:r w:rsidRPr="008D22CC">
        <w:rPr>
          <w:rStyle w:val="Strong"/>
          <w:rFonts w:asciiTheme="majorBidi" w:hAnsiTheme="majorBidi" w:cstheme="majorBidi"/>
        </w:rPr>
        <w:t>Belgium</w:t>
      </w:r>
      <w:r w:rsidRPr="008D22CC">
        <w:rPr>
          <w:rFonts w:asciiTheme="majorBidi" w:hAnsiTheme="majorBidi" w:cstheme="majorBidi"/>
        </w:rPr>
        <w:t xml:space="preserve">, trusts fall under the Cayman tax, making founders transparently taxable on trust income, while private foundations are generally taxed under legal entities tax at 30% on financial income, or 25% corporate tax if trading is deemed a business. </w:t>
      </w:r>
      <w:r w:rsidRPr="008D22CC">
        <w:rPr>
          <w:rStyle w:val="Strong"/>
          <w:rFonts w:asciiTheme="majorBidi" w:hAnsiTheme="majorBidi" w:cstheme="majorBidi"/>
        </w:rPr>
        <w:t>Cyprus</w:t>
      </w:r>
      <w:r w:rsidRPr="008D22CC">
        <w:rPr>
          <w:rFonts w:asciiTheme="majorBidi" w:hAnsiTheme="majorBidi" w:cstheme="majorBidi"/>
        </w:rPr>
        <w:t xml:space="preserve"> distinguishes between capital assets and inventory; crypto held in a trust as a capital asset is not taxable unless linked to Cyprus immovable property, while actively traded crypto classified as inventory is subject to income tax. In </w:t>
      </w:r>
      <w:r w:rsidRPr="008D22CC">
        <w:rPr>
          <w:rStyle w:val="Strong"/>
          <w:rFonts w:asciiTheme="majorBidi" w:hAnsiTheme="majorBidi" w:cstheme="majorBidi"/>
        </w:rPr>
        <w:t>Austria</w:t>
      </w:r>
      <w:r w:rsidRPr="008D22CC">
        <w:rPr>
          <w:rFonts w:asciiTheme="majorBidi" w:hAnsiTheme="majorBidi" w:cstheme="majorBidi"/>
        </w:rPr>
        <w:t xml:space="preserve">, private foundations face a 23% corporate tax on crypto trading profits, though this can be avoided if profits are fully distributed. </w:t>
      </w:r>
      <w:r w:rsidRPr="008D22CC">
        <w:rPr>
          <w:rStyle w:val="Strong"/>
          <w:rFonts w:asciiTheme="majorBidi" w:hAnsiTheme="majorBidi" w:cstheme="majorBidi"/>
        </w:rPr>
        <w:t>The Netherlands</w:t>
      </w:r>
      <w:r w:rsidRPr="008D22CC">
        <w:rPr>
          <w:rFonts w:asciiTheme="majorBidi" w:hAnsiTheme="majorBidi" w:cstheme="majorBidi"/>
        </w:rPr>
        <w:t xml:space="preserve"> applies either personal income tax under the APV regime or corporate tax at up to 25.8%, depending on the foundation’s structure, meaning if the contributor or beneficiaries retain significant control over the assets, the foundation is treated as transparent and taxed under the APV regime, whereas if it operates independently with no control retained, it is taxed as a separate corporate entity. </w:t>
      </w:r>
      <w:r w:rsidRPr="008D22CC">
        <w:rPr>
          <w:rStyle w:val="Strong"/>
          <w:rFonts w:asciiTheme="majorBidi" w:hAnsiTheme="majorBidi" w:cstheme="majorBidi"/>
        </w:rPr>
        <w:t>Switzerland</w:t>
      </w:r>
      <w:r w:rsidRPr="008D22CC">
        <w:rPr>
          <w:rFonts w:asciiTheme="majorBidi" w:hAnsiTheme="majorBidi" w:cstheme="majorBidi"/>
        </w:rPr>
        <w:t xml:space="preserve"> does not tax foundations on capital gains from merely holding crypto, but trading for profit triggers corporate tax. </w:t>
      </w:r>
      <w:r w:rsidRPr="008D22CC">
        <w:rPr>
          <w:rStyle w:val="Strong"/>
          <w:rFonts w:asciiTheme="majorBidi" w:hAnsiTheme="majorBidi" w:cstheme="majorBidi"/>
        </w:rPr>
        <w:t>Malta</w:t>
      </w:r>
      <w:r w:rsidRPr="008D22CC">
        <w:rPr>
          <w:rFonts w:asciiTheme="majorBidi" w:hAnsiTheme="majorBidi" w:cstheme="majorBidi"/>
        </w:rPr>
        <w:t xml:space="preserve"> allows trusts to trade crypto directly with tax treatment dependent on residency, while foundations cannot actively trade unless through a subsidiary, achieving an effective 5% tax rate with proper structuring. </w:t>
      </w:r>
      <w:r w:rsidRPr="008D22CC">
        <w:rPr>
          <w:rStyle w:val="Strong"/>
          <w:rFonts w:asciiTheme="majorBidi" w:hAnsiTheme="majorBidi" w:cstheme="majorBidi"/>
        </w:rPr>
        <w:t>Monaco</w:t>
      </w:r>
      <w:r w:rsidRPr="008D22CC">
        <w:rPr>
          <w:rFonts w:asciiTheme="majorBidi" w:hAnsiTheme="majorBidi" w:cstheme="majorBidi"/>
        </w:rPr>
        <w:t xml:space="preserve"> does not tax crypto trading unless conducted as a business, in which case it falls under corporate tax. Finally, </w:t>
      </w:r>
      <w:r w:rsidRPr="008D22CC">
        <w:rPr>
          <w:rStyle w:val="Strong"/>
          <w:rFonts w:asciiTheme="majorBidi" w:hAnsiTheme="majorBidi" w:cstheme="majorBidi"/>
        </w:rPr>
        <w:t>Panama</w:t>
      </w:r>
      <w:r w:rsidRPr="008D22CC">
        <w:rPr>
          <w:rFonts w:asciiTheme="majorBidi" w:hAnsiTheme="majorBidi" w:cstheme="majorBidi"/>
        </w:rPr>
        <w:t xml:space="preserve"> exempts trusts and foundations from tax on crypto-related income, as only Panama-sourced income is taxable under its territorial system.</w:t>
      </w:r>
    </w:p>
    <w:p w14:paraId="4E41F996" w14:textId="77777777" w:rsidR="00172C8F" w:rsidRPr="008D22CC" w:rsidRDefault="00172C8F" w:rsidP="00172C8F">
      <w:pPr>
        <w:spacing w:before="100" w:beforeAutospacing="1" w:after="100" w:afterAutospacing="1" w:line="240" w:lineRule="auto"/>
        <w:jc w:val="both"/>
        <w:rPr>
          <w:rFonts w:asciiTheme="majorBidi" w:eastAsia="Times New Roman" w:hAnsiTheme="majorBidi" w:cstheme="majorBidi"/>
          <w:b/>
          <w:bCs/>
          <w:kern w:val="0"/>
          <w14:ligatures w14:val="none"/>
        </w:rPr>
      </w:pPr>
      <w:bookmarkStart w:id="1" w:name="_Hlk192249526"/>
      <w:r w:rsidRPr="008D22CC">
        <w:rPr>
          <w:rFonts w:asciiTheme="majorBidi" w:eastAsia="Times New Roman" w:hAnsiTheme="majorBidi" w:cstheme="majorBidi"/>
          <w:b/>
          <w:bCs/>
          <w:kern w:val="0"/>
          <w14:ligatures w14:val="none"/>
        </w:rPr>
        <w:t>Summary of crypto holdings in trust/foundation in civil law jurisdictions</w:t>
      </w:r>
    </w:p>
    <w:bookmarkEnd w:id="1"/>
    <w:p w14:paraId="5410DEFC" w14:textId="77777777" w:rsidR="00172C8F" w:rsidRDefault="00172C8F" w:rsidP="00172C8F">
      <w:pPr>
        <w:spacing w:before="100" w:beforeAutospacing="1" w:after="100" w:afterAutospacing="1" w:line="240" w:lineRule="auto"/>
        <w:jc w:val="both"/>
        <w:rPr>
          <w:rFonts w:asciiTheme="majorBidi" w:eastAsia="Times New Roman" w:hAnsiTheme="majorBidi" w:cstheme="majorBidi"/>
          <w:kern w:val="0"/>
          <w14:ligatures w14:val="none"/>
        </w:rPr>
      </w:pPr>
      <w:r w:rsidRPr="00B678BA">
        <w:rPr>
          <w:rFonts w:asciiTheme="majorBidi" w:eastAsia="Times New Roman" w:hAnsiTheme="majorBidi" w:cstheme="majorBidi"/>
          <w:kern w:val="0"/>
          <w14:ligatures w14:val="none"/>
        </w:rPr>
        <w:lastRenderedPageBreak/>
        <w:t>Civil law jurisdictions have taken different approaches to integrating crypto assets into their legal and financial systems</w:t>
      </w:r>
      <w:r>
        <w:rPr>
          <w:rFonts w:asciiTheme="majorBidi" w:eastAsia="Times New Roman" w:hAnsiTheme="majorBidi" w:cstheme="majorBidi"/>
          <w:kern w:val="0"/>
          <w14:ligatures w14:val="none"/>
        </w:rPr>
        <w:t>.</w:t>
      </w:r>
      <w:r w:rsidRPr="00B678BA">
        <w:rPr>
          <w:rFonts w:asciiTheme="majorBidi" w:eastAsia="Times New Roman" w:hAnsiTheme="majorBidi" w:cstheme="majorBidi"/>
          <w:kern w:val="0"/>
          <w14:ligatures w14:val="none"/>
        </w:rPr>
        <w:t xml:space="preserve"> Most apply existing financial regulations, while some, such as Liechtenstein and Malta, have introduced specialized frameworks like the Blockchain Act and the Virtual Financial Assets Act.</w:t>
      </w:r>
    </w:p>
    <w:p w14:paraId="26474E2D" w14:textId="77777777" w:rsidR="00172C8F" w:rsidRPr="00AE5758" w:rsidRDefault="00172C8F" w:rsidP="00172C8F">
      <w:pPr>
        <w:spacing w:before="100" w:beforeAutospacing="1" w:after="100" w:afterAutospacing="1" w:line="240" w:lineRule="auto"/>
        <w:jc w:val="both"/>
        <w:rPr>
          <w:rFonts w:asciiTheme="majorBidi" w:eastAsia="Times New Roman" w:hAnsiTheme="majorBidi" w:cstheme="majorBidi"/>
          <w:kern w:val="0"/>
          <w14:ligatures w14:val="none"/>
        </w:rPr>
      </w:pPr>
      <w:r w:rsidRPr="00AE5758">
        <w:rPr>
          <w:rFonts w:asciiTheme="majorBidi" w:hAnsiTheme="majorBidi" w:cstheme="majorBidi"/>
        </w:rPr>
        <w:t>Country reports from civil law jurisdictions highlight the challenges of crypto inheritance due to forced heirship rules and inheritance taxation on transfers. Unlike common law jurisdictions, where trusts play a key role, civil law jurisdictions primarily rely on foundations for managing crypto holdings and succession planning.</w:t>
      </w:r>
    </w:p>
    <w:p w14:paraId="188EEC04" w14:textId="77777777" w:rsidR="00172C8F" w:rsidRPr="008D22CC" w:rsidRDefault="00172C8F" w:rsidP="00172C8F">
      <w:pPr>
        <w:spacing w:before="100" w:beforeAutospacing="1" w:after="100" w:afterAutospacing="1" w:line="240" w:lineRule="auto"/>
        <w:jc w:val="both"/>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 xml:space="preserve">It seems that as the </w:t>
      </w:r>
      <w:r w:rsidRPr="00B678BA">
        <w:rPr>
          <w:rFonts w:asciiTheme="majorBidi" w:eastAsia="Times New Roman" w:hAnsiTheme="majorBidi" w:cstheme="majorBidi"/>
          <w:kern w:val="0"/>
          <w14:ligatures w14:val="none"/>
        </w:rPr>
        <w:t xml:space="preserve">regulatory environment for digital assets continues to evolve, civil law jurisdictions will need to refine their governance, tax, and inheritance rules to accommodate the </w:t>
      </w:r>
      <w:r>
        <w:rPr>
          <w:rFonts w:asciiTheme="majorBidi" w:eastAsia="Times New Roman" w:hAnsiTheme="majorBidi" w:cstheme="majorBidi"/>
          <w:kern w:val="0"/>
          <w14:ligatures w14:val="none"/>
        </w:rPr>
        <w:t>growing</w:t>
      </w:r>
      <w:r w:rsidRPr="00B678BA">
        <w:rPr>
          <w:rFonts w:asciiTheme="majorBidi" w:eastAsia="Times New Roman" w:hAnsiTheme="majorBidi" w:cstheme="majorBidi"/>
          <w:kern w:val="0"/>
          <w14:ligatures w14:val="none"/>
        </w:rPr>
        <w:t xml:space="preserve"> importance of crypto assets in wealth management and estate planning.</w:t>
      </w:r>
    </w:p>
    <w:p w14:paraId="3E011CDC" w14:textId="77777777" w:rsidR="00172C8F" w:rsidRPr="00B34C74" w:rsidRDefault="00172C8F" w:rsidP="00172C8F">
      <w:pPr>
        <w:spacing w:before="100" w:beforeAutospacing="1" w:after="100" w:afterAutospacing="1" w:line="240" w:lineRule="auto"/>
        <w:jc w:val="both"/>
        <w:outlineLvl w:val="2"/>
        <w:rPr>
          <w:rFonts w:asciiTheme="majorBidi" w:eastAsia="Times New Roman" w:hAnsiTheme="majorBidi" w:cstheme="majorBidi"/>
          <w:b/>
          <w:bCs/>
          <w:kern w:val="0"/>
          <w:sz w:val="28"/>
          <w:szCs w:val="28"/>
          <w14:ligatures w14:val="none"/>
        </w:rPr>
      </w:pPr>
      <w:r>
        <w:rPr>
          <w:rFonts w:asciiTheme="majorBidi" w:eastAsia="Times New Roman" w:hAnsiTheme="majorBidi" w:cstheme="majorBidi"/>
          <w:b/>
          <w:bCs/>
          <w:kern w:val="0"/>
          <w:sz w:val="27"/>
          <w:szCs w:val="27"/>
          <w14:ligatures w14:val="none"/>
        </w:rPr>
        <w:t>E.</w:t>
      </w:r>
      <w:r>
        <w:rPr>
          <w:rFonts w:asciiTheme="majorBidi" w:eastAsia="Times New Roman" w:hAnsiTheme="majorBidi" w:cstheme="majorBidi"/>
          <w:b/>
          <w:bCs/>
          <w:kern w:val="0"/>
          <w:sz w:val="27"/>
          <w:szCs w:val="27"/>
          <w14:ligatures w14:val="none"/>
        </w:rPr>
        <w:tab/>
      </w:r>
      <w:r w:rsidRPr="00B34C74">
        <w:rPr>
          <w:rFonts w:asciiTheme="majorBidi" w:eastAsia="Times New Roman" w:hAnsiTheme="majorBidi" w:cstheme="majorBidi"/>
          <w:b/>
          <w:bCs/>
          <w:kern w:val="0"/>
          <w:sz w:val="28"/>
          <w:szCs w:val="28"/>
          <w14:ligatures w14:val="none"/>
        </w:rPr>
        <w:t xml:space="preserve">Conclusion and Future Considerations </w:t>
      </w:r>
    </w:p>
    <w:p w14:paraId="4BBD01BB" w14:textId="77777777" w:rsidR="00172C8F" w:rsidRDefault="00172C8F" w:rsidP="00172C8F">
      <w:pPr>
        <w:pStyle w:val="NormalWeb"/>
        <w:jc w:val="both"/>
      </w:pPr>
      <w:r>
        <w:t>This book is a timely and essential reference, offering insights from 20 jurisdictions across both civil and common law systems. It provides a structured approach to understanding the complexities of holding crypto assets in trusts and foundations, addressing key legal and practical challenges. Ross’s introduction enriches the discussion by explaining core crypto concepts and highlighting crucial considerations for trustees. Niklas and Ross have skillfully organized the book around 11 fundamental questions, which many country-specific contributors have addressed exceptionally well.</w:t>
      </w:r>
    </w:p>
    <w:p w14:paraId="2CF84CA9" w14:textId="77777777" w:rsidR="00172C8F" w:rsidRDefault="00172C8F" w:rsidP="00172C8F">
      <w:pPr>
        <w:pStyle w:val="NormalWeb"/>
        <w:jc w:val="both"/>
      </w:pPr>
      <w:r>
        <w:t>Not only is this a must-read book, but also a valuable reference to have on the bookshelf</w:t>
      </w:r>
      <w:r>
        <w:rPr>
          <w:rStyle w:val="Emphasis"/>
          <w:rFonts w:eastAsiaTheme="majorEastAsia"/>
        </w:rPr>
        <w:t xml:space="preserve"> true Nachschlagewerk</w:t>
      </w:r>
      <w:r>
        <w:t>. A key resource for trustees, foundation board members, and wealth managers, it is essential for anyone navigating the intersection of crypto and wealth management. However, given the fast-evolving legal landscape, ongoing updates will be necessary to reflect new regulations and legislative changes.</w:t>
      </w:r>
    </w:p>
    <w:p w14:paraId="4CA1AE2F" w14:textId="77777777" w:rsidR="00172C8F" w:rsidRPr="00FD13FB" w:rsidRDefault="00172C8F" w:rsidP="00172C8F">
      <w:pPr>
        <w:spacing w:after="0" w:line="240" w:lineRule="auto"/>
        <w:jc w:val="both"/>
        <w:rPr>
          <w:rFonts w:ascii="Times New Roman" w:eastAsia="Times New Roman" w:hAnsi="Times New Roman" w:cs="Times New Roman"/>
          <w:kern w:val="0"/>
          <w14:ligatures w14:val="none"/>
        </w:rPr>
      </w:pPr>
    </w:p>
    <w:p w14:paraId="71A42327" w14:textId="77777777" w:rsidR="00172C8F" w:rsidRPr="00FD13FB" w:rsidRDefault="00172C8F" w:rsidP="00172C8F">
      <w:pPr>
        <w:jc w:val="both"/>
        <w:rPr>
          <w:b/>
          <w:bCs/>
        </w:rPr>
      </w:pPr>
    </w:p>
    <w:p w14:paraId="40E58674" w14:textId="77777777" w:rsidR="00172C8F" w:rsidRPr="00393C21" w:rsidRDefault="00172C8F" w:rsidP="00172C8F">
      <w:pPr>
        <w:spacing w:before="100" w:beforeAutospacing="1" w:after="100" w:afterAutospacing="1" w:line="240" w:lineRule="auto"/>
        <w:ind w:left="360"/>
        <w:jc w:val="both"/>
        <w:rPr>
          <w:rFonts w:ascii="Times New Roman" w:eastAsia="Times New Roman" w:hAnsi="Times New Roman" w:cs="Times New Roman"/>
          <w:kern w:val="0"/>
          <w14:ligatures w14:val="none"/>
        </w:rPr>
      </w:pPr>
    </w:p>
    <w:p w14:paraId="39EF2AC9" w14:textId="77777777" w:rsidR="00172C8F" w:rsidRPr="00C02407" w:rsidRDefault="00172C8F" w:rsidP="000A0C6B">
      <w:pPr>
        <w:spacing w:before="100" w:beforeAutospacing="1" w:after="100" w:afterAutospacing="1" w:line="240" w:lineRule="auto"/>
        <w:jc w:val="both"/>
        <w:rPr>
          <w:rFonts w:asciiTheme="majorBidi" w:eastAsia="Times New Roman" w:hAnsiTheme="majorBidi" w:cstheme="majorBidi"/>
          <w:kern w:val="0"/>
          <w14:ligatures w14:val="none"/>
        </w:rPr>
      </w:pPr>
    </w:p>
    <w:p w14:paraId="33DA4F8A" w14:textId="77777777" w:rsidR="00C2118E" w:rsidRPr="00782AB6" w:rsidRDefault="00C2118E" w:rsidP="006B75D4">
      <w:pPr>
        <w:spacing w:before="100" w:beforeAutospacing="1" w:after="100" w:afterAutospacing="1" w:line="240" w:lineRule="auto"/>
        <w:outlineLvl w:val="2"/>
        <w:rPr>
          <w:rFonts w:asciiTheme="majorBidi" w:eastAsia="Times New Roman" w:hAnsiTheme="majorBidi" w:cstheme="majorBidi"/>
          <w:b/>
          <w:bCs/>
          <w:kern w:val="0"/>
          <w14:ligatures w14:val="none"/>
        </w:rPr>
      </w:pPr>
    </w:p>
    <w:sectPr w:rsidR="00C2118E" w:rsidRPr="00782AB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07796" w14:textId="77777777" w:rsidR="006A3DF0" w:rsidRDefault="006A3DF0" w:rsidP="00677F66">
      <w:pPr>
        <w:spacing w:after="0" w:line="240" w:lineRule="auto"/>
      </w:pPr>
      <w:r>
        <w:separator/>
      </w:r>
    </w:p>
  </w:endnote>
  <w:endnote w:type="continuationSeparator" w:id="0">
    <w:p w14:paraId="461A7A40" w14:textId="77777777" w:rsidR="006A3DF0" w:rsidRDefault="006A3DF0" w:rsidP="00677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635866"/>
      <w:docPartObj>
        <w:docPartGallery w:val="Page Numbers (Bottom of Page)"/>
        <w:docPartUnique/>
      </w:docPartObj>
    </w:sdtPr>
    <w:sdtEndPr>
      <w:rPr>
        <w:noProof/>
      </w:rPr>
    </w:sdtEndPr>
    <w:sdtContent>
      <w:p w14:paraId="746EEECF" w14:textId="5D66F893" w:rsidR="00677F66" w:rsidRDefault="00677F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A1FDA3" w14:textId="77777777" w:rsidR="00677F66" w:rsidRDefault="00677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99C7F" w14:textId="77777777" w:rsidR="006A3DF0" w:rsidRDefault="006A3DF0" w:rsidP="00677F66">
      <w:pPr>
        <w:spacing w:after="0" w:line="240" w:lineRule="auto"/>
      </w:pPr>
      <w:r>
        <w:separator/>
      </w:r>
    </w:p>
  </w:footnote>
  <w:footnote w:type="continuationSeparator" w:id="0">
    <w:p w14:paraId="2D3DD366" w14:textId="77777777" w:rsidR="006A3DF0" w:rsidRDefault="006A3DF0" w:rsidP="00677F66">
      <w:pPr>
        <w:spacing w:after="0" w:line="240" w:lineRule="auto"/>
      </w:pPr>
      <w:r>
        <w:continuationSeparator/>
      </w:r>
    </w:p>
  </w:footnote>
  <w:footnote w:id="1">
    <w:p w14:paraId="42D68E16" w14:textId="73C27523" w:rsidR="00B52F48" w:rsidRDefault="00B52F48">
      <w:pPr>
        <w:pStyle w:val="FootnoteText"/>
      </w:pPr>
      <w:r>
        <w:rPr>
          <w:rStyle w:val="FootnoteReference"/>
        </w:rPr>
        <w:footnoteRef/>
      </w:r>
      <w:r>
        <w:t xml:space="preserve"> </w:t>
      </w:r>
      <w:r w:rsidR="000A0C6B">
        <w:rPr>
          <w:rFonts w:ascii="Times New Roman" w:eastAsia="Times New Roman" w:hAnsi="Times New Roman" w:cs="Times New Roman"/>
          <w:kern w:val="0"/>
          <w14:ligatures w14:val="none"/>
        </w:rPr>
        <w:t>C</w:t>
      </w:r>
      <w:r w:rsidRPr="007A09D3">
        <w:rPr>
          <w:rFonts w:ascii="Times New Roman" w:eastAsia="Times New Roman" w:hAnsi="Times New Roman" w:cs="Times New Roman"/>
          <w:kern w:val="0"/>
          <w14:ligatures w14:val="none"/>
        </w:rPr>
        <w:t>ited by Ross Belhomme and in the BVI report by Harneys</w:t>
      </w:r>
    </w:p>
  </w:footnote>
  <w:footnote w:id="2">
    <w:p w14:paraId="6389D16C" w14:textId="44094516" w:rsidR="008855E2" w:rsidRDefault="008855E2">
      <w:pPr>
        <w:pStyle w:val="FootnoteText"/>
      </w:pPr>
      <w:r>
        <w:rPr>
          <w:rStyle w:val="FootnoteReference"/>
        </w:rPr>
        <w:footnoteRef/>
      </w:r>
      <w:r>
        <w:t xml:space="preserve"> By Claudia Shan, Barrister and solicitor Violet Yu from Cone Marshall Limited</w:t>
      </w:r>
    </w:p>
  </w:footnote>
  <w:footnote w:id="3">
    <w:p w14:paraId="67472C7A" w14:textId="7FF7A7A2" w:rsidR="007B2EB1" w:rsidRPr="007B2EB1" w:rsidRDefault="007B2EB1">
      <w:pPr>
        <w:pStyle w:val="FootnoteText"/>
      </w:pPr>
      <w:r>
        <w:rPr>
          <w:rStyle w:val="FootnoteReference"/>
        </w:rPr>
        <w:footnoteRef/>
      </w:r>
      <w:r>
        <w:t xml:space="preserve"> </w:t>
      </w:r>
      <w:r w:rsidRPr="00B6478F">
        <w:rPr>
          <w:rFonts w:ascii="Times New Roman" w:eastAsia="Times New Roman" w:hAnsi="Times New Roman" w:cs="Times New Roman"/>
          <w:kern w:val="0"/>
          <w14:ligatures w14:val="none"/>
        </w:rPr>
        <w:t>Chloe Convery, Jack Igglesden, Adam Killip of DQ Advocates</w:t>
      </w:r>
    </w:p>
  </w:footnote>
  <w:footnote w:id="4">
    <w:p w14:paraId="27C029CC" w14:textId="14DFCE1F" w:rsidR="00D02906" w:rsidRPr="00D02906" w:rsidRDefault="00D02906">
      <w:pPr>
        <w:pStyle w:val="FootnoteText"/>
      </w:pPr>
      <w:r>
        <w:rPr>
          <w:rStyle w:val="FootnoteReference"/>
        </w:rPr>
        <w:footnoteRef/>
      </w:r>
      <w:r>
        <w:t xml:space="preserve"> </w:t>
      </w:r>
      <w:r w:rsidRPr="00B6478F">
        <w:rPr>
          <w:rFonts w:ascii="Times New Roman" w:eastAsia="Times New Roman" w:hAnsi="Times New Roman" w:cs="Times New Roman"/>
          <w:kern w:val="0"/>
          <w14:ligatures w14:val="none"/>
        </w:rPr>
        <w:t>David Cooney, Marcel Treurnicht of Walkers</w:t>
      </w:r>
    </w:p>
  </w:footnote>
  <w:footnote w:id="5">
    <w:p w14:paraId="6C190C29" w14:textId="00BE6D7A" w:rsidR="00D02906" w:rsidRPr="00D02906" w:rsidRDefault="00D02906">
      <w:pPr>
        <w:pStyle w:val="FootnoteText"/>
      </w:pPr>
      <w:r>
        <w:rPr>
          <w:rStyle w:val="FootnoteReference"/>
        </w:rPr>
        <w:footnoteRef/>
      </w:r>
      <w:r>
        <w:t xml:space="preserve"> </w:t>
      </w:r>
      <w:r w:rsidRPr="00B6478F">
        <w:rPr>
          <w:rFonts w:ascii="Times New Roman" w:eastAsia="Times New Roman" w:hAnsi="Times New Roman" w:cs="Times New Roman"/>
          <w:kern w:val="0"/>
          <w14:ligatures w14:val="none"/>
        </w:rPr>
        <w:t>Ross</w:t>
      </w:r>
      <w:r>
        <w:rPr>
          <w:rFonts w:ascii="Times New Roman" w:eastAsia="Times New Roman" w:hAnsi="Times New Roman" w:cs="Times New Roman"/>
          <w:kern w:val="0"/>
          <w14:ligatures w14:val="none"/>
        </w:rPr>
        <w:t xml:space="preserve"> </w:t>
      </w:r>
      <w:r w:rsidRPr="00B6478F">
        <w:rPr>
          <w:rFonts w:ascii="Times New Roman" w:eastAsia="Times New Roman" w:hAnsi="Times New Roman" w:cs="Times New Roman"/>
          <w:kern w:val="0"/>
          <w14:ligatures w14:val="none"/>
        </w:rPr>
        <w:t>Belhomme of</w:t>
      </w:r>
      <w:r>
        <w:rPr>
          <w:rFonts w:ascii="Times New Roman" w:eastAsia="Times New Roman" w:hAnsi="Times New Roman" w:cs="Times New Roman"/>
          <w:kern w:val="0"/>
          <w14:ligatures w14:val="none"/>
        </w:rPr>
        <w:t xml:space="preserve"> </w:t>
      </w:r>
      <w:r w:rsidRPr="00B6478F">
        <w:rPr>
          <w:rFonts w:ascii="Times New Roman" w:eastAsia="Times New Roman" w:hAnsi="Times New Roman" w:cs="Times New Roman"/>
          <w:kern w:val="0"/>
          <w14:ligatures w14:val="none"/>
        </w:rPr>
        <w:t>Belhomme</w:t>
      </w:r>
      <w:r>
        <w:rPr>
          <w:rFonts w:ascii="Times New Roman" w:eastAsia="Times New Roman" w:hAnsi="Times New Roman" w:cs="Times New Roman"/>
          <w:kern w:val="0"/>
          <w14:ligatures w14:val="none"/>
        </w:rPr>
        <w:t xml:space="preserve"> </w:t>
      </w:r>
      <w:r w:rsidRPr="00B6478F">
        <w:rPr>
          <w:rFonts w:ascii="Times New Roman" w:eastAsia="Times New Roman" w:hAnsi="Times New Roman" w:cs="Times New Roman"/>
          <w:kern w:val="0"/>
          <w14:ligatures w14:val="none"/>
        </w:rPr>
        <w:t>Law</w:t>
      </w:r>
    </w:p>
  </w:footnote>
  <w:footnote w:id="6">
    <w:p w14:paraId="382BD840" w14:textId="5115742C" w:rsidR="00D02906" w:rsidRPr="00D02906" w:rsidRDefault="00D02906">
      <w:pPr>
        <w:pStyle w:val="FootnoteText"/>
      </w:pPr>
      <w:r>
        <w:rPr>
          <w:rStyle w:val="FootnoteReference"/>
        </w:rPr>
        <w:footnoteRef/>
      </w:r>
      <w:r>
        <w:t xml:space="preserve"> </w:t>
      </w:r>
      <w:r w:rsidRPr="00B6478F">
        <w:rPr>
          <w:rFonts w:ascii="Times New Roman" w:eastAsia="Times New Roman" w:hAnsi="Times New Roman" w:cs="Times New Roman"/>
          <w:kern w:val="0"/>
          <w14:ligatures w14:val="none"/>
        </w:rPr>
        <w:t>Chris Duncan, Sarah-Jane Hall of Carey Olsen</w:t>
      </w:r>
    </w:p>
  </w:footnote>
  <w:footnote w:id="7">
    <w:p w14:paraId="6187056D" w14:textId="7EEA8BB6" w:rsidR="00D02906" w:rsidRPr="00D02906" w:rsidRDefault="00D02906">
      <w:pPr>
        <w:pStyle w:val="FootnoteText"/>
      </w:pPr>
      <w:r>
        <w:rPr>
          <w:rStyle w:val="FootnoteReference"/>
        </w:rPr>
        <w:footnoteRef/>
      </w:r>
      <w:r>
        <w:t xml:space="preserve"> </w:t>
      </w:r>
      <w:r w:rsidRPr="00B6478F">
        <w:rPr>
          <w:rFonts w:ascii="Times New Roman" w:eastAsia="Times New Roman" w:hAnsi="Times New Roman" w:cs="Times New Roman"/>
          <w:kern w:val="0"/>
          <w14:ligatures w14:val="none"/>
        </w:rPr>
        <w:t>James Brockhurst, Rory Carter of Fosters LLP</w:t>
      </w:r>
    </w:p>
  </w:footnote>
  <w:footnote w:id="8">
    <w:p w14:paraId="7983F1BC" w14:textId="6DAC9B21" w:rsidR="00DA03C2" w:rsidRPr="00DA03C2" w:rsidRDefault="00DA03C2">
      <w:pPr>
        <w:pStyle w:val="FootnoteText"/>
      </w:pPr>
      <w:r>
        <w:rPr>
          <w:rStyle w:val="FootnoteReference"/>
        </w:rPr>
        <w:footnoteRef/>
      </w:r>
      <w:r>
        <w:t xml:space="preserve"> See the English and Wales report by Fosters LLP</w:t>
      </w:r>
    </w:p>
  </w:footnote>
  <w:footnote w:id="9">
    <w:p w14:paraId="619D8AAB" w14:textId="23FC82E9" w:rsidR="00B52F48" w:rsidRDefault="00B52F48">
      <w:pPr>
        <w:pStyle w:val="FootnoteText"/>
      </w:pPr>
      <w:r>
        <w:rPr>
          <w:rStyle w:val="FootnoteReference"/>
        </w:rPr>
        <w:footnoteRef/>
      </w:r>
      <w:r>
        <w:t xml:space="preserve"> By Carey Olsen</w:t>
      </w:r>
    </w:p>
  </w:footnote>
  <w:footnote w:id="10">
    <w:p w14:paraId="27B2EEFD" w14:textId="2A117DEA" w:rsidR="00B52F48" w:rsidRDefault="00B52F48">
      <w:pPr>
        <w:pStyle w:val="FootnoteText"/>
      </w:pPr>
      <w:r>
        <w:rPr>
          <w:rStyle w:val="FootnoteReference"/>
        </w:rPr>
        <w:footnoteRef/>
      </w:r>
      <w:r>
        <w:t xml:space="preserve"> By Ross Belhomme</w:t>
      </w:r>
    </w:p>
  </w:footnote>
  <w:footnote w:id="11">
    <w:p w14:paraId="60AB7D05" w14:textId="77777777" w:rsidR="00AD52A6" w:rsidRDefault="00AD52A6" w:rsidP="00AD52A6">
      <w:pPr>
        <w:pStyle w:val="FootnoteText"/>
      </w:pPr>
      <w:r>
        <w:rPr>
          <w:rStyle w:val="FootnoteReference"/>
        </w:rPr>
        <w:footnoteRef/>
      </w:r>
      <w:r>
        <w:t xml:space="preserve"> Christopher M. Reimer, Amy M. Staehr of Long Reimer Winegar LLP</w:t>
      </w:r>
    </w:p>
  </w:footnote>
  <w:footnote w:id="12">
    <w:p w14:paraId="2DE82174" w14:textId="77777777" w:rsidR="00AD52A6" w:rsidRDefault="00AD52A6" w:rsidP="00AD52A6">
      <w:pPr>
        <w:pStyle w:val="FootnoteText"/>
      </w:pPr>
      <w:r>
        <w:rPr>
          <w:rStyle w:val="FootnoteReference"/>
        </w:rPr>
        <w:footnoteRef/>
      </w:r>
      <w:r>
        <w:t xml:space="preserve"> Carey Olsen</w:t>
      </w:r>
    </w:p>
  </w:footnote>
  <w:footnote w:id="13">
    <w:p w14:paraId="3D58238D" w14:textId="77777777" w:rsidR="00AD52A6" w:rsidRDefault="00AD52A6" w:rsidP="00AD52A6">
      <w:pPr>
        <w:pStyle w:val="FootnoteText"/>
      </w:pPr>
      <w:r>
        <w:rPr>
          <w:rStyle w:val="FootnoteReference"/>
        </w:rPr>
        <w:footnoteRef/>
      </w:r>
      <w:r>
        <w:t xml:space="preserve"> Walkers</w:t>
      </w:r>
    </w:p>
  </w:footnote>
  <w:footnote w:id="14">
    <w:p w14:paraId="7958ABD7" w14:textId="77777777" w:rsidR="00AD52A6" w:rsidRDefault="00AD52A6" w:rsidP="00AD52A6">
      <w:pPr>
        <w:pStyle w:val="FootnoteText"/>
      </w:pPr>
      <w:r>
        <w:rPr>
          <w:rStyle w:val="FootnoteReference"/>
        </w:rPr>
        <w:footnoteRef/>
      </w:r>
      <w:r>
        <w:t xml:space="preserve"> Ross Belhomme Law</w:t>
      </w:r>
    </w:p>
  </w:footnote>
  <w:footnote w:id="15">
    <w:p w14:paraId="59C54C38" w14:textId="77777777" w:rsidR="00AD52A6" w:rsidRDefault="00AD52A6" w:rsidP="00AD52A6">
      <w:pPr>
        <w:pStyle w:val="FootnoteText"/>
      </w:pPr>
      <w:r>
        <w:rPr>
          <w:rStyle w:val="FootnoteReference"/>
        </w:rPr>
        <w:footnoteRef/>
      </w:r>
      <w:r>
        <w:t xml:space="preserve"> Appleby</w:t>
      </w:r>
    </w:p>
  </w:footnote>
  <w:footnote w:id="16">
    <w:p w14:paraId="0109D697" w14:textId="77777777" w:rsidR="00AD52A6" w:rsidRDefault="00AD52A6" w:rsidP="00AD52A6">
      <w:pPr>
        <w:pStyle w:val="FootnoteText"/>
      </w:pPr>
      <w:r>
        <w:rPr>
          <w:rStyle w:val="FootnoteReference"/>
        </w:rPr>
        <w:footnoteRef/>
      </w:r>
      <w:r>
        <w:t xml:space="preserve"> Harneys</w:t>
      </w:r>
    </w:p>
  </w:footnote>
  <w:footnote w:id="17">
    <w:p w14:paraId="10907865" w14:textId="1748FF19" w:rsidR="00283C1F" w:rsidRDefault="00283C1F">
      <w:pPr>
        <w:pStyle w:val="FootnoteText"/>
      </w:pPr>
      <w:r>
        <w:rPr>
          <w:rStyle w:val="FootnoteReference"/>
        </w:rPr>
        <w:footnoteRef/>
      </w:r>
      <w:r>
        <w:rPr>
          <w:rFonts w:ascii="Times New Roman" w:eastAsia="Times New Roman" w:hAnsi="Times New Roman" w:cs="Times New Roman"/>
          <w:kern w:val="0"/>
          <w14:ligatures w14:val="none"/>
        </w:rPr>
        <w:t xml:space="preserve"> By</w:t>
      </w:r>
      <w:r w:rsidRPr="00F131B6">
        <w:rPr>
          <w:rFonts w:ascii="Times New Roman" w:eastAsia="Times New Roman" w:hAnsi="Times New Roman" w:cs="Times New Roman"/>
          <w:kern w:val="0"/>
          <w14:ligatures w14:val="none"/>
        </w:rPr>
        <w:t xml:space="preserve"> Tju Liang Chua, </w:t>
      </w:r>
      <w:r>
        <w:rPr>
          <w:rFonts w:ascii="Times New Roman" w:eastAsia="Times New Roman" w:hAnsi="Times New Roman" w:cs="Times New Roman"/>
          <w:kern w:val="0"/>
          <w14:ligatures w14:val="none"/>
        </w:rPr>
        <w:t xml:space="preserve">Shu Mei Hoon, Ken Loon Ong, Ching Ling Seah </w:t>
      </w:r>
      <w:r w:rsidR="000A0C6B">
        <w:rPr>
          <w:rFonts w:ascii="Times New Roman" w:eastAsia="Times New Roman" w:hAnsi="Times New Roman" w:cs="Times New Roman"/>
          <w:kern w:val="0"/>
          <w14:ligatures w14:val="none"/>
        </w:rPr>
        <w:t>from Drew</w:t>
      </w:r>
      <w:r w:rsidRPr="00F131B6">
        <w:rPr>
          <w:rFonts w:ascii="Times New Roman" w:eastAsia="Times New Roman" w:hAnsi="Times New Roman" w:cs="Times New Roman"/>
          <w:kern w:val="0"/>
          <w14:ligatures w14:val="none"/>
        </w:rPr>
        <w:t xml:space="preserve"> &amp; Napier LLC</w:t>
      </w:r>
    </w:p>
  </w:footnote>
  <w:footnote w:id="18">
    <w:p w14:paraId="4B84C216" w14:textId="10A07EA1" w:rsidR="00283C1F" w:rsidRDefault="00283C1F">
      <w:pPr>
        <w:pStyle w:val="FootnoteText"/>
      </w:pPr>
      <w:r>
        <w:rPr>
          <w:rStyle w:val="FootnoteReference"/>
        </w:rPr>
        <w:footnoteRef/>
      </w:r>
      <w:r>
        <w:t xml:space="preserve"> By Ross Belhomme</w:t>
      </w:r>
    </w:p>
  </w:footnote>
  <w:footnote w:id="19">
    <w:p w14:paraId="0371DB18" w14:textId="7143ECCE" w:rsidR="00283C1F" w:rsidRDefault="00283C1F" w:rsidP="00283C1F">
      <w:pPr>
        <w:pStyle w:val="FootnoteText"/>
      </w:pPr>
      <w:r>
        <w:rPr>
          <w:rStyle w:val="FootnoteReference"/>
        </w:rPr>
        <w:footnoteRef/>
      </w:r>
      <w:r>
        <w:t xml:space="preserve"> </w:t>
      </w:r>
      <w:r>
        <w:rPr>
          <w:rFonts w:ascii="Times New Roman" w:eastAsia="Times New Roman" w:hAnsi="Times New Roman" w:cs="Times New Roman"/>
          <w:kern w:val="0"/>
          <w14:ligatures w14:val="none"/>
        </w:rPr>
        <w:t xml:space="preserve">By </w:t>
      </w:r>
      <w:r w:rsidRPr="00F131B6">
        <w:rPr>
          <w:rFonts w:ascii="Times New Roman" w:eastAsia="Times New Roman" w:hAnsi="Times New Roman" w:cs="Times New Roman"/>
          <w:kern w:val="0"/>
          <w14:ligatures w14:val="none"/>
        </w:rPr>
        <w:t>Appleby</w:t>
      </w:r>
    </w:p>
  </w:footnote>
  <w:footnote w:id="20">
    <w:p w14:paraId="4063F093" w14:textId="77777777" w:rsidR="00172C8F" w:rsidRDefault="00172C8F" w:rsidP="00172C8F">
      <w:pPr>
        <w:pStyle w:val="FootnoteText"/>
      </w:pPr>
      <w:r>
        <w:rPr>
          <w:rStyle w:val="FootnoteReference"/>
        </w:rPr>
        <w:footnoteRef/>
      </w:r>
      <w:r>
        <w:t xml:space="preserve"> By Fabian Cabeza, Elena Christodoulou, Elias Neocleous from Elias Neocleous &amp; Co LLC</w:t>
      </w:r>
    </w:p>
  </w:footnote>
  <w:footnote w:id="21">
    <w:p w14:paraId="55110879" w14:textId="77777777" w:rsidR="00172C8F" w:rsidRDefault="00172C8F" w:rsidP="00172C8F">
      <w:pPr>
        <w:pStyle w:val="FootnoteText"/>
      </w:pPr>
      <w:r>
        <w:rPr>
          <w:rStyle w:val="FootnoteReference"/>
        </w:rPr>
        <w:footnoteRef/>
      </w:r>
      <w:r>
        <w:t xml:space="preserve"> By Niklas JRM Schmidt from Wolf Theiss Attorneys-at-Law </w:t>
      </w:r>
    </w:p>
  </w:footnote>
  <w:footnote w:id="22">
    <w:p w14:paraId="097EF854" w14:textId="77777777" w:rsidR="00172C8F" w:rsidRDefault="00172C8F" w:rsidP="00172C8F">
      <w:pPr>
        <w:pStyle w:val="FootnoteText"/>
      </w:pPr>
      <w:r>
        <w:rPr>
          <w:rStyle w:val="FootnoteReference"/>
        </w:rPr>
        <w:footnoteRef/>
      </w:r>
      <w:r>
        <w:t xml:space="preserve"> By Bruce GA Pollock, Tobias F Rohner from Vischer </w:t>
      </w:r>
    </w:p>
  </w:footnote>
  <w:footnote w:id="23">
    <w:p w14:paraId="67097758" w14:textId="77777777" w:rsidR="00172C8F" w:rsidRDefault="00172C8F" w:rsidP="00172C8F">
      <w:pPr>
        <w:pStyle w:val="FootnoteText"/>
      </w:pPr>
      <w:r>
        <w:rPr>
          <w:rStyle w:val="FootnoteReference"/>
        </w:rPr>
        <w:footnoteRef/>
      </w:r>
      <w:r>
        <w:t xml:space="preserve"> Ramona Azzopardi, Aleksandr Belugin, Joseph Borg, Galyna Podoprikhina from WH Partners </w:t>
      </w:r>
    </w:p>
  </w:footnote>
  <w:footnote w:id="24">
    <w:p w14:paraId="71345A16" w14:textId="77777777" w:rsidR="00172C8F" w:rsidRDefault="00172C8F" w:rsidP="00172C8F">
      <w:pPr>
        <w:pStyle w:val="FootnoteText"/>
      </w:pPr>
      <w:r>
        <w:rPr>
          <w:rStyle w:val="FootnoteReference"/>
        </w:rPr>
        <w:footnoteRef/>
      </w:r>
      <w:r>
        <w:t xml:space="preserve"> Report by</w:t>
      </w:r>
      <w:r w:rsidRPr="008D22CC">
        <w:rPr>
          <w:rFonts w:asciiTheme="majorBidi" w:eastAsia="Times New Roman" w:hAnsiTheme="majorBidi" w:cstheme="majorBidi"/>
          <w:kern w:val="0"/>
          <w14:ligatures w14:val="none"/>
        </w:rPr>
        <w:t xml:space="preserve"> Stephanie Gabriel and Gerd D. Goyvaerts from Tiberghien</w:t>
      </w:r>
    </w:p>
  </w:footnote>
  <w:footnote w:id="25">
    <w:p w14:paraId="0070E626" w14:textId="77777777" w:rsidR="00172C8F" w:rsidRDefault="00172C8F" w:rsidP="00172C8F">
      <w:pPr>
        <w:pStyle w:val="FootnoteText"/>
      </w:pPr>
      <w:r>
        <w:rPr>
          <w:rStyle w:val="FootnoteReference"/>
        </w:rPr>
        <w:footnoteRef/>
      </w:r>
      <w:r>
        <w:t xml:space="preserve"> Report by Dominik Kujawski from Allgemeines Treuunternehmen</w:t>
      </w:r>
    </w:p>
  </w:footnote>
  <w:footnote w:id="26">
    <w:p w14:paraId="0639DF81" w14:textId="77777777" w:rsidR="00172C8F" w:rsidRDefault="00172C8F" w:rsidP="00172C8F">
      <w:pPr>
        <w:pStyle w:val="FootnoteText"/>
      </w:pPr>
      <w:r>
        <w:rPr>
          <w:rStyle w:val="FootnoteReference"/>
        </w:rPr>
        <w:footnoteRef/>
      </w:r>
      <w:r>
        <w:t xml:space="preserve"> By Fabian Cabeza, Elena Christodoulou, and Elias Neocleous from Elias Neocleous &amp; Co LLC</w:t>
      </w:r>
    </w:p>
  </w:footnote>
  <w:footnote w:id="27">
    <w:p w14:paraId="754004F8" w14:textId="77777777" w:rsidR="00172C8F" w:rsidRDefault="00172C8F" w:rsidP="00172C8F">
      <w:pPr>
        <w:pStyle w:val="FootnoteText"/>
      </w:pPr>
      <w:r>
        <w:rPr>
          <w:rStyle w:val="FootnoteReference"/>
        </w:rPr>
        <w:footnoteRef/>
      </w:r>
      <w:r>
        <w:t xml:space="preserve"> Report by Walter Honig, Paul van de Ven from Buren</w:t>
      </w:r>
    </w:p>
  </w:footnote>
  <w:footnote w:id="28">
    <w:p w14:paraId="340B90C5" w14:textId="77777777" w:rsidR="00172C8F" w:rsidRDefault="00172C8F" w:rsidP="00172C8F">
      <w:pPr>
        <w:pStyle w:val="FootnoteText"/>
      </w:pPr>
      <w:r>
        <w:rPr>
          <w:rStyle w:val="FootnoteReference"/>
        </w:rPr>
        <w:footnoteRef/>
      </w:r>
      <w:r>
        <w:t xml:space="preserve"> Report by Gretel Ciniglio de Perez from Fabrega Molino</w:t>
      </w:r>
    </w:p>
  </w:footnote>
  <w:footnote w:id="29">
    <w:p w14:paraId="3ABD94BB" w14:textId="77777777" w:rsidR="00172C8F" w:rsidRDefault="00172C8F" w:rsidP="00172C8F">
      <w:pPr>
        <w:pStyle w:val="FootnoteText"/>
      </w:pPr>
      <w:r>
        <w:rPr>
          <w:rStyle w:val="FootnoteReference"/>
        </w:rPr>
        <w:footnoteRef/>
      </w:r>
      <w:r>
        <w:t xml:space="preserve"> Report by Maurizio Cohen, May Lolli-Ghetti from Interlaw Monaco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A6E"/>
    <w:multiLevelType w:val="multilevel"/>
    <w:tmpl w:val="8C7C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179EB"/>
    <w:multiLevelType w:val="hybridMultilevel"/>
    <w:tmpl w:val="2202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531E7"/>
    <w:multiLevelType w:val="multilevel"/>
    <w:tmpl w:val="3266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26245"/>
    <w:multiLevelType w:val="hybridMultilevel"/>
    <w:tmpl w:val="918C1372"/>
    <w:lvl w:ilvl="0" w:tplc="4378D4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9C4D7A"/>
    <w:multiLevelType w:val="hybridMultilevel"/>
    <w:tmpl w:val="58E4767A"/>
    <w:lvl w:ilvl="0" w:tplc="4378D4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F3055A"/>
    <w:multiLevelType w:val="hybridMultilevel"/>
    <w:tmpl w:val="0922D96A"/>
    <w:lvl w:ilvl="0" w:tplc="4378D4DA">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046440"/>
    <w:multiLevelType w:val="hybridMultilevel"/>
    <w:tmpl w:val="50B6C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364AE3"/>
    <w:multiLevelType w:val="hybridMultilevel"/>
    <w:tmpl w:val="C17E8468"/>
    <w:lvl w:ilvl="0" w:tplc="BFDA8A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5625071">
    <w:abstractNumId w:val="6"/>
  </w:num>
  <w:num w:numId="2" w16cid:durableId="1877813492">
    <w:abstractNumId w:val="7"/>
  </w:num>
  <w:num w:numId="3" w16cid:durableId="1525092302">
    <w:abstractNumId w:val="1"/>
  </w:num>
  <w:num w:numId="4" w16cid:durableId="834495845">
    <w:abstractNumId w:val="4"/>
  </w:num>
  <w:num w:numId="5" w16cid:durableId="1039403975">
    <w:abstractNumId w:val="5"/>
  </w:num>
  <w:num w:numId="6" w16cid:durableId="1106267462">
    <w:abstractNumId w:val="3"/>
  </w:num>
  <w:num w:numId="7" w16cid:durableId="1666392403">
    <w:abstractNumId w:val="2"/>
  </w:num>
  <w:num w:numId="8" w16cid:durableId="146592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66"/>
    <w:rsid w:val="00027D50"/>
    <w:rsid w:val="00030207"/>
    <w:rsid w:val="000631A0"/>
    <w:rsid w:val="00085DF3"/>
    <w:rsid w:val="000A0C6B"/>
    <w:rsid w:val="00131238"/>
    <w:rsid w:val="00172C8F"/>
    <w:rsid w:val="00194603"/>
    <w:rsid w:val="00232C7A"/>
    <w:rsid w:val="00265C1F"/>
    <w:rsid w:val="00274801"/>
    <w:rsid w:val="00283C1F"/>
    <w:rsid w:val="002C1A70"/>
    <w:rsid w:val="00354B3D"/>
    <w:rsid w:val="00491681"/>
    <w:rsid w:val="00533898"/>
    <w:rsid w:val="005F2CBA"/>
    <w:rsid w:val="00606C53"/>
    <w:rsid w:val="00642AE3"/>
    <w:rsid w:val="00676B1B"/>
    <w:rsid w:val="00677F66"/>
    <w:rsid w:val="006A3DF0"/>
    <w:rsid w:val="006B75D4"/>
    <w:rsid w:val="00782AB6"/>
    <w:rsid w:val="00794885"/>
    <w:rsid w:val="007A09D3"/>
    <w:rsid w:val="007B2EB1"/>
    <w:rsid w:val="007E5E66"/>
    <w:rsid w:val="00845C0B"/>
    <w:rsid w:val="008642A5"/>
    <w:rsid w:val="008855E2"/>
    <w:rsid w:val="008F3440"/>
    <w:rsid w:val="0092170B"/>
    <w:rsid w:val="009236BC"/>
    <w:rsid w:val="00A46B89"/>
    <w:rsid w:val="00AD52A6"/>
    <w:rsid w:val="00B21C93"/>
    <w:rsid w:val="00B52F48"/>
    <w:rsid w:val="00B6478F"/>
    <w:rsid w:val="00B94EA6"/>
    <w:rsid w:val="00BB3CA6"/>
    <w:rsid w:val="00C02407"/>
    <w:rsid w:val="00C07ECD"/>
    <w:rsid w:val="00C14B8C"/>
    <w:rsid w:val="00C2118E"/>
    <w:rsid w:val="00C5674C"/>
    <w:rsid w:val="00D02906"/>
    <w:rsid w:val="00D02E49"/>
    <w:rsid w:val="00D32363"/>
    <w:rsid w:val="00D45028"/>
    <w:rsid w:val="00D514A5"/>
    <w:rsid w:val="00DA03C2"/>
    <w:rsid w:val="00DA1936"/>
    <w:rsid w:val="00DB4D5D"/>
    <w:rsid w:val="00DE76C2"/>
    <w:rsid w:val="00DF3F99"/>
    <w:rsid w:val="00E07C20"/>
    <w:rsid w:val="00E8177B"/>
    <w:rsid w:val="00F26B7C"/>
    <w:rsid w:val="00F55B73"/>
    <w:rsid w:val="00FF18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47250"/>
  <w15:chartTrackingRefBased/>
  <w15:docId w15:val="{2B08341D-6153-47AF-8E5E-E1C544982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F66"/>
  </w:style>
  <w:style w:type="paragraph" w:styleId="Heading1">
    <w:name w:val="heading 1"/>
    <w:basedOn w:val="Normal"/>
    <w:next w:val="Normal"/>
    <w:link w:val="Heading1Char"/>
    <w:uiPriority w:val="9"/>
    <w:qFormat/>
    <w:rsid w:val="00677F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F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F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F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F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F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F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F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F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F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F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F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F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F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F66"/>
    <w:rPr>
      <w:rFonts w:eastAsiaTheme="majorEastAsia" w:cstheme="majorBidi"/>
      <w:color w:val="272727" w:themeColor="text1" w:themeTint="D8"/>
    </w:rPr>
  </w:style>
  <w:style w:type="paragraph" w:styleId="Title">
    <w:name w:val="Title"/>
    <w:basedOn w:val="Normal"/>
    <w:next w:val="Normal"/>
    <w:link w:val="TitleChar"/>
    <w:uiPriority w:val="10"/>
    <w:qFormat/>
    <w:rsid w:val="00677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F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F66"/>
    <w:pPr>
      <w:spacing w:before="160"/>
      <w:jc w:val="center"/>
    </w:pPr>
    <w:rPr>
      <w:i/>
      <w:iCs/>
      <w:color w:val="404040" w:themeColor="text1" w:themeTint="BF"/>
    </w:rPr>
  </w:style>
  <w:style w:type="character" w:customStyle="1" w:styleId="QuoteChar">
    <w:name w:val="Quote Char"/>
    <w:basedOn w:val="DefaultParagraphFont"/>
    <w:link w:val="Quote"/>
    <w:uiPriority w:val="29"/>
    <w:rsid w:val="00677F66"/>
    <w:rPr>
      <w:i/>
      <w:iCs/>
      <w:color w:val="404040" w:themeColor="text1" w:themeTint="BF"/>
    </w:rPr>
  </w:style>
  <w:style w:type="paragraph" w:styleId="ListParagraph">
    <w:name w:val="List Paragraph"/>
    <w:basedOn w:val="Normal"/>
    <w:uiPriority w:val="34"/>
    <w:qFormat/>
    <w:rsid w:val="00677F66"/>
    <w:pPr>
      <w:ind w:left="720"/>
      <w:contextualSpacing/>
    </w:pPr>
  </w:style>
  <w:style w:type="character" w:styleId="IntenseEmphasis">
    <w:name w:val="Intense Emphasis"/>
    <w:basedOn w:val="DefaultParagraphFont"/>
    <w:uiPriority w:val="21"/>
    <w:qFormat/>
    <w:rsid w:val="00677F66"/>
    <w:rPr>
      <w:i/>
      <w:iCs/>
      <w:color w:val="0F4761" w:themeColor="accent1" w:themeShade="BF"/>
    </w:rPr>
  </w:style>
  <w:style w:type="paragraph" w:styleId="IntenseQuote">
    <w:name w:val="Intense Quote"/>
    <w:basedOn w:val="Normal"/>
    <w:next w:val="Normal"/>
    <w:link w:val="IntenseQuoteChar"/>
    <w:uiPriority w:val="30"/>
    <w:qFormat/>
    <w:rsid w:val="00677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F66"/>
    <w:rPr>
      <w:i/>
      <w:iCs/>
      <w:color w:val="0F4761" w:themeColor="accent1" w:themeShade="BF"/>
    </w:rPr>
  </w:style>
  <w:style w:type="character" w:styleId="IntenseReference">
    <w:name w:val="Intense Reference"/>
    <w:basedOn w:val="DefaultParagraphFont"/>
    <w:uiPriority w:val="32"/>
    <w:qFormat/>
    <w:rsid w:val="00677F66"/>
    <w:rPr>
      <w:b/>
      <w:bCs/>
      <w:smallCaps/>
      <w:color w:val="0F4761" w:themeColor="accent1" w:themeShade="BF"/>
      <w:spacing w:val="5"/>
    </w:rPr>
  </w:style>
  <w:style w:type="paragraph" w:styleId="NormalWeb">
    <w:name w:val="Normal (Web)"/>
    <w:basedOn w:val="Normal"/>
    <w:uiPriority w:val="99"/>
    <w:unhideWhenUsed/>
    <w:rsid w:val="00677F6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77F66"/>
    <w:rPr>
      <w:i/>
      <w:iCs/>
    </w:rPr>
  </w:style>
  <w:style w:type="paragraph" w:styleId="Header">
    <w:name w:val="header"/>
    <w:basedOn w:val="Normal"/>
    <w:link w:val="HeaderChar"/>
    <w:uiPriority w:val="99"/>
    <w:unhideWhenUsed/>
    <w:rsid w:val="00677F66"/>
    <w:pPr>
      <w:tabs>
        <w:tab w:val="center" w:pos="4320"/>
        <w:tab w:val="right" w:pos="8640"/>
      </w:tabs>
      <w:spacing w:after="0" w:line="240" w:lineRule="auto"/>
    </w:pPr>
  </w:style>
  <w:style w:type="character" w:customStyle="1" w:styleId="HeaderChar">
    <w:name w:val="Header Char"/>
    <w:basedOn w:val="DefaultParagraphFont"/>
    <w:link w:val="Header"/>
    <w:uiPriority w:val="99"/>
    <w:rsid w:val="00677F66"/>
  </w:style>
  <w:style w:type="paragraph" w:styleId="Footer">
    <w:name w:val="footer"/>
    <w:basedOn w:val="Normal"/>
    <w:link w:val="FooterChar"/>
    <w:uiPriority w:val="99"/>
    <w:unhideWhenUsed/>
    <w:rsid w:val="00677F66"/>
    <w:pPr>
      <w:tabs>
        <w:tab w:val="center" w:pos="4320"/>
        <w:tab w:val="right" w:pos="8640"/>
      </w:tabs>
      <w:spacing w:after="0" w:line="240" w:lineRule="auto"/>
    </w:pPr>
  </w:style>
  <w:style w:type="character" w:customStyle="1" w:styleId="FooterChar">
    <w:name w:val="Footer Char"/>
    <w:basedOn w:val="DefaultParagraphFont"/>
    <w:link w:val="Footer"/>
    <w:uiPriority w:val="99"/>
    <w:rsid w:val="00677F66"/>
  </w:style>
  <w:style w:type="character" w:styleId="Strong">
    <w:name w:val="Strong"/>
    <w:basedOn w:val="DefaultParagraphFont"/>
    <w:uiPriority w:val="22"/>
    <w:qFormat/>
    <w:rsid w:val="00A46B89"/>
    <w:rPr>
      <w:b/>
      <w:bCs/>
    </w:rPr>
  </w:style>
  <w:style w:type="paragraph" w:styleId="EndnoteText">
    <w:name w:val="endnote text"/>
    <w:basedOn w:val="Normal"/>
    <w:link w:val="EndnoteTextChar"/>
    <w:uiPriority w:val="99"/>
    <w:semiHidden/>
    <w:unhideWhenUsed/>
    <w:rsid w:val="007B2E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B2EB1"/>
    <w:rPr>
      <w:sz w:val="20"/>
      <w:szCs w:val="20"/>
    </w:rPr>
  </w:style>
  <w:style w:type="character" w:styleId="EndnoteReference">
    <w:name w:val="endnote reference"/>
    <w:basedOn w:val="DefaultParagraphFont"/>
    <w:uiPriority w:val="99"/>
    <w:semiHidden/>
    <w:unhideWhenUsed/>
    <w:rsid w:val="007B2EB1"/>
    <w:rPr>
      <w:vertAlign w:val="superscript"/>
    </w:rPr>
  </w:style>
  <w:style w:type="paragraph" w:styleId="FootnoteText">
    <w:name w:val="footnote text"/>
    <w:basedOn w:val="Normal"/>
    <w:link w:val="FootnoteTextChar"/>
    <w:uiPriority w:val="99"/>
    <w:semiHidden/>
    <w:unhideWhenUsed/>
    <w:rsid w:val="007B2E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2EB1"/>
    <w:rPr>
      <w:sz w:val="20"/>
      <w:szCs w:val="20"/>
    </w:rPr>
  </w:style>
  <w:style w:type="character" w:styleId="FootnoteReference">
    <w:name w:val="footnote reference"/>
    <w:basedOn w:val="DefaultParagraphFont"/>
    <w:uiPriority w:val="99"/>
    <w:semiHidden/>
    <w:unhideWhenUsed/>
    <w:rsid w:val="007B2E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0700">
      <w:bodyDiv w:val="1"/>
      <w:marLeft w:val="0"/>
      <w:marRight w:val="0"/>
      <w:marTop w:val="0"/>
      <w:marBottom w:val="0"/>
      <w:divBdr>
        <w:top w:val="none" w:sz="0" w:space="0" w:color="auto"/>
        <w:left w:val="none" w:sz="0" w:space="0" w:color="auto"/>
        <w:bottom w:val="none" w:sz="0" w:space="0" w:color="auto"/>
        <w:right w:val="none" w:sz="0" w:space="0" w:color="auto"/>
      </w:divBdr>
    </w:div>
    <w:div w:id="210964632">
      <w:bodyDiv w:val="1"/>
      <w:marLeft w:val="0"/>
      <w:marRight w:val="0"/>
      <w:marTop w:val="0"/>
      <w:marBottom w:val="0"/>
      <w:divBdr>
        <w:top w:val="none" w:sz="0" w:space="0" w:color="auto"/>
        <w:left w:val="none" w:sz="0" w:space="0" w:color="auto"/>
        <w:bottom w:val="none" w:sz="0" w:space="0" w:color="auto"/>
        <w:right w:val="none" w:sz="0" w:space="0" w:color="auto"/>
      </w:divBdr>
    </w:div>
    <w:div w:id="339044835">
      <w:bodyDiv w:val="1"/>
      <w:marLeft w:val="0"/>
      <w:marRight w:val="0"/>
      <w:marTop w:val="0"/>
      <w:marBottom w:val="0"/>
      <w:divBdr>
        <w:top w:val="none" w:sz="0" w:space="0" w:color="auto"/>
        <w:left w:val="none" w:sz="0" w:space="0" w:color="auto"/>
        <w:bottom w:val="none" w:sz="0" w:space="0" w:color="auto"/>
        <w:right w:val="none" w:sz="0" w:space="0" w:color="auto"/>
      </w:divBdr>
    </w:div>
    <w:div w:id="373038990">
      <w:bodyDiv w:val="1"/>
      <w:marLeft w:val="0"/>
      <w:marRight w:val="0"/>
      <w:marTop w:val="0"/>
      <w:marBottom w:val="0"/>
      <w:divBdr>
        <w:top w:val="none" w:sz="0" w:space="0" w:color="auto"/>
        <w:left w:val="none" w:sz="0" w:space="0" w:color="auto"/>
        <w:bottom w:val="none" w:sz="0" w:space="0" w:color="auto"/>
        <w:right w:val="none" w:sz="0" w:space="0" w:color="auto"/>
      </w:divBdr>
    </w:div>
    <w:div w:id="634412548">
      <w:bodyDiv w:val="1"/>
      <w:marLeft w:val="0"/>
      <w:marRight w:val="0"/>
      <w:marTop w:val="0"/>
      <w:marBottom w:val="0"/>
      <w:divBdr>
        <w:top w:val="none" w:sz="0" w:space="0" w:color="auto"/>
        <w:left w:val="none" w:sz="0" w:space="0" w:color="auto"/>
        <w:bottom w:val="none" w:sz="0" w:space="0" w:color="auto"/>
        <w:right w:val="none" w:sz="0" w:space="0" w:color="auto"/>
      </w:divBdr>
    </w:div>
    <w:div w:id="1122729482">
      <w:bodyDiv w:val="1"/>
      <w:marLeft w:val="0"/>
      <w:marRight w:val="0"/>
      <w:marTop w:val="0"/>
      <w:marBottom w:val="0"/>
      <w:divBdr>
        <w:top w:val="none" w:sz="0" w:space="0" w:color="auto"/>
        <w:left w:val="none" w:sz="0" w:space="0" w:color="auto"/>
        <w:bottom w:val="none" w:sz="0" w:space="0" w:color="auto"/>
        <w:right w:val="none" w:sz="0" w:space="0" w:color="auto"/>
      </w:divBdr>
      <w:divsChild>
        <w:div w:id="1195464090">
          <w:marLeft w:val="0"/>
          <w:marRight w:val="0"/>
          <w:marTop w:val="0"/>
          <w:marBottom w:val="0"/>
          <w:divBdr>
            <w:top w:val="none" w:sz="0" w:space="0" w:color="auto"/>
            <w:left w:val="none" w:sz="0" w:space="0" w:color="auto"/>
            <w:bottom w:val="none" w:sz="0" w:space="0" w:color="auto"/>
            <w:right w:val="none" w:sz="0" w:space="0" w:color="auto"/>
          </w:divBdr>
          <w:divsChild>
            <w:div w:id="1603877497">
              <w:marLeft w:val="0"/>
              <w:marRight w:val="0"/>
              <w:marTop w:val="0"/>
              <w:marBottom w:val="0"/>
              <w:divBdr>
                <w:top w:val="none" w:sz="0" w:space="0" w:color="auto"/>
                <w:left w:val="none" w:sz="0" w:space="0" w:color="auto"/>
                <w:bottom w:val="none" w:sz="0" w:space="0" w:color="auto"/>
                <w:right w:val="none" w:sz="0" w:space="0" w:color="auto"/>
              </w:divBdr>
              <w:divsChild>
                <w:div w:id="1898937035">
                  <w:marLeft w:val="0"/>
                  <w:marRight w:val="0"/>
                  <w:marTop w:val="0"/>
                  <w:marBottom w:val="0"/>
                  <w:divBdr>
                    <w:top w:val="none" w:sz="0" w:space="0" w:color="auto"/>
                    <w:left w:val="none" w:sz="0" w:space="0" w:color="auto"/>
                    <w:bottom w:val="none" w:sz="0" w:space="0" w:color="auto"/>
                    <w:right w:val="none" w:sz="0" w:space="0" w:color="auto"/>
                  </w:divBdr>
                  <w:divsChild>
                    <w:div w:id="361782078">
                      <w:marLeft w:val="0"/>
                      <w:marRight w:val="0"/>
                      <w:marTop w:val="0"/>
                      <w:marBottom w:val="0"/>
                      <w:divBdr>
                        <w:top w:val="none" w:sz="0" w:space="0" w:color="auto"/>
                        <w:left w:val="none" w:sz="0" w:space="0" w:color="auto"/>
                        <w:bottom w:val="none" w:sz="0" w:space="0" w:color="auto"/>
                        <w:right w:val="none" w:sz="0" w:space="0" w:color="auto"/>
                      </w:divBdr>
                      <w:divsChild>
                        <w:div w:id="901673128">
                          <w:marLeft w:val="0"/>
                          <w:marRight w:val="0"/>
                          <w:marTop w:val="0"/>
                          <w:marBottom w:val="0"/>
                          <w:divBdr>
                            <w:top w:val="none" w:sz="0" w:space="0" w:color="auto"/>
                            <w:left w:val="none" w:sz="0" w:space="0" w:color="auto"/>
                            <w:bottom w:val="none" w:sz="0" w:space="0" w:color="auto"/>
                            <w:right w:val="none" w:sz="0" w:space="0" w:color="auto"/>
                          </w:divBdr>
                          <w:divsChild>
                            <w:div w:id="1056123258">
                              <w:marLeft w:val="0"/>
                              <w:marRight w:val="0"/>
                              <w:marTop w:val="0"/>
                              <w:marBottom w:val="0"/>
                              <w:divBdr>
                                <w:top w:val="none" w:sz="0" w:space="0" w:color="auto"/>
                                <w:left w:val="none" w:sz="0" w:space="0" w:color="auto"/>
                                <w:bottom w:val="none" w:sz="0" w:space="0" w:color="auto"/>
                                <w:right w:val="none" w:sz="0" w:space="0" w:color="auto"/>
                              </w:divBdr>
                              <w:divsChild>
                                <w:div w:id="628323338">
                                  <w:marLeft w:val="0"/>
                                  <w:marRight w:val="0"/>
                                  <w:marTop w:val="0"/>
                                  <w:marBottom w:val="0"/>
                                  <w:divBdr>
                                    <w:top w:val="none" w:sz="0" w:space="0" w:color="auto"/>
                                    <w:left w:val="none" w:sz="0" w:space="0" w:color="auto"/>
                                    <w:bottom w:val="none" w:sz="0" w:space="0" w:color="auto"/>
                                    <w:right w:val="none" w:sz="0" w:space="0" w:color="auto"/>
                                  </w:divBdr>
                                  <w:divsChild>
                                    <w:div w:id="820342903">
                                      <w:marLeft w:val="0"/>
                                      <w:marRight w:val="0"/>
                                      <w:marTop w:val="0"/>
                                      <w:marBottom w:val="0"/>
                                      <w:divBdr>
                                        <w:top w:val="none" w:sz="0" w:space="0" w:color="auto"/>
                                        <w:left w:val="none" w:sz="0" w:space="0" w:color="auto"/>
                                        <w:bottom w:val="none" w:sz="0" w:space="0" w:color="auto"/>
                                        <w:right w:val="none" w:sz="0" w:space="0" w:color="auto"/>
                                      </w:divBdr>
                                      <w:divsChild>
                                        <w:div w:id="7378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798958">
          <w:marLeft w:val="0"/>
          <w:marRight w:val="0"/>
          <w:marTop w:val="0"/>
          <w:marBottom w:val="0"/>
          <w:divBdr>
            <w:top w:val="none" w:sz="0" w:space="0" w:color="auto"/>
            <w:left w:val="none" w:sz="0" w:space="0" w:color="auto"/>
            <w:bottom w:val="none" w:sz="0" w:space="0" w:color="auto"/>
            <w:right w:val="none" w:sz="0" w:space="0" w:color="auto"/>
          </w:divBdr>
          <w:divsChild>
            <w:div w:id="1979334299">
              <w:marLeft w:val="0"/>
              <w:marRight w:val="0"/>
              <w:marTop w:val="0"/>
              <w:marBottom w:val="0"/>
              <w:divBdr>
                <w:top w:val="none" w:sz="0" w:space="0" w:color="auto"/>
                <w:left w:val="none" w:sz="0" w:space="0" w:color="auto"/>
                <w:bottom w:val="none" w:sz="0" w:space="0" w:color="auto"/>
                <w:right w:val="none" w:sz="0" w:space="0" w:color="auto"/>
              </w:divBdr>
              <w:divsChild>
                <w:div w:id="1385715574">
                  <w:marLeft w:val="0"/>
                  <w:marRight w:val="0"/>
                  <w:marTop w:val="0"/>
                  <w:marBottom w:val="0"/>
                  <w:divBdr>
                    <w:top w:val="none" w:sz="0" w:space="0" w:color="auto"/>
                    <w:left w:val="none" w:sz="0" w:space="0" w:color="auto"/>
                    <w:bottom w:val="none" w:sz="0" w:space="0" w:color="auto"/>
                    <w:right w:val="none" w:sz="0" w:space="0" w:color="auto"/>
                  </w:divBdr>
                  <w:divsChild>
                    <w:div w:id="2000962824">
                      <w:marLeft w:val="0"/>
                      <w:marRight w:val="0"/>
                      <w:marTop w:val="0"/>
                      <w:marBottom w:val="0"/>
                      <w:divBdr>
                        <w:top w:val="none" w:sz="0" w:space="0" w:color="auto"/>
                        <w:left w:val="none" w:sz="0" w:space="0" w:color="auto"/>
                        <w:bottom w:val="none" w:sz="0" w:space="0" w:color="auto"/>
                        <w:right w:val="none" w:sz="0" w:space="0" w:color="auto"/>
                      </w:divBdr>
                      <w:divsChild>
                        <w:div w:id="727385201">
                          <w:marLeft w:val="0"/>
                          <w:marRight w:val="0"/>
                          <w:marTop w:val="0"/>
                          <w:marBottom w:val="0"/>
                          <w:divBdr>
                            <w:top w:val="none" w:sz="0" w:space="0" w:color="auto"/>
                            <w:left w:val="none" w:sz="0" w:space="0" w:color="auto"/>
                            <w:bottom w:val="none" w:sz="0" w:space="0" w:color="auto"/>
                            <w:right w:val="none" w:sz="0" w:space="0" w:color="auto"/>
                          </w:divBdr>
                          <w:divsChild>
                            <w:div w:id="1216546180">
                              <w:marLeft w:val="0"/>
                              <w:marRight w:val="0"/>
                              <w:marTop w:val="0"/>
                              <w:marBottom w:val="0"/>
                              <w:divBdr>
                                <w:top w:val="none" w:sz="0" w:space="0" w:color="auto"/>
                                <w:left w:val="none" w:sz="0" w:space="0" w:color="auto"/>
                                <w:bottom w:val="none" w:sz="0" w:space="0" w:color="auto"/>
                                <w:right w:val="none" w:sz="0" w:space="0" w:color="auto"/>
                              </w:divBdr>
                              <w:divsChild>
                                <w:div w:id="1995601286">
                                  <w:marLeft w:val="0"/>
                                  <w:marRight w:val="0"/>
                                  <w:marTop w:val="0"/>
                                  <w:marBottom w:val="0"/>
                                  <w:divBdr>
                                    <w:top w:val="none" w:sz="0" w:space="0" w:color="auto"/>
                                    <w:left w:val="none" w:sz="0" w:space="0" w:color="auto"/>
                                    <w:bottom w:val="none" w:sz="0" w:space="0" w:color="auto"/>
                                    <w:right w:val="none" w:sz="0" w:space="0" w:color="auto"/>
                                  </w:divBdr>
                                  <w:divsChild>
                                    <w:div w:id="16659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250387">
      <w:bodyDiv w:val="1"/>
      <w:marLeft w:val="0"/>
      <w:marRight w:val="0"/>
      <w:marTop w:val="0"/>
      <w:marBottom w:val="0"/>
      <w:divBdr>
        <w:top w:val="none" w:sz="0" w:space="0" w:color="auto"/>
        <w:left w:val="none" w:sz="0" w:space="0" w:color="auto"/>
        <w:bottom w:val="none" w:sz="0" w:space="0" w:color="auto"/>
        <w:right w:val="none" w:sz="0" w:space="0" w:color="auto"/>
      </w:divBdr>
      <w:divsChild>
        <w:div w:id="595553775">
          <w:marLeft w:val="0"/>
          <w:marRight w:val="0"/>
          <w:marTop w:val="0"/>
          <w:marBottom w:val="0"/>
          <w:divBdr>
            <w:top w:val="none" w:sz="0" w:space="0" w:color="auto"/>
            <w:left w:val="none" w:sz="0" w:space="0" w:color="auto"/>
            <w:bottom w:val="none" w:sz="0" w:space="0" w:color="auto"/>
            <w:right w:val="none" w:sz="0" w:space="0" w:color="auto"/>
          </w:divBdr>
          <w:divsChild>
            <w:div w:id="2052142698">
              <w:marLeft w:val="0"/>
              <w:marRight w:val="0"/>
              <w:marTop w:val="0"/>
              <w:marBottom w:val="0"/>
              <w:divBdr>
                <w:top w:val="none" w:sz="0" w:space="0" w:color="auto"/>
                <w:left w:val="none" w:sz="0" w:space="0" w:color="auto"/>
                <w:bottom w:val="none" w:sz="0" w:space="0" w:color="auto"/>
                <w:right w:val="none" w:sz="0" w:space="0" w:color="auto"/>
              </w:divBdr>
              <w:divsChild>
                <w:div w:id="107746432">
                  <w:marLeft w:val="0"/>
                  <w:marRight w:val="0"/>
                  <w:marTop w:val="0"/>
                  <w:marBottom w:val="0"/>
                  <w:divBdr>
                    <w:top w:val="none" w:sz="0" w:space="0" w:color="auto"/>
                    <w:left w:val="none" w:sz="0" w:space="0" w:color="auto"/>
                    <w:bottom w:val="none" w:sz="0" w:space="0" w:color="auto"/>
                    <w:right w:val="none" w:sz="0" w:space="0" w:color="auto"/>
                  </w:divBdr>
                  <w:divsChild>
                    <w:div w:id="163645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24432">
          <w:marLeft w:val="0"/>
          <w:marRight w:val="0"/>
          <w:marTop w:val="0"/>
          <w:marBottom w:val="0"/>
          <w:divBdr>
            <w:top w:val="none" w:sz="0" w:space="0" w:color="auto"/>
            <w:left w:val="none" w:sz="0" w:space="0" w:color="auto"/>
            <w:bottom w:val="none" w:sz="0" w:space="0" w:color="auto"/>
            <w:right w:val="none" w:sz="0" w:space="0" w:color="auto"/>
          </w:divBdr>
          <w:divsChild>
            <w:div w:id="1052316010">
              <w:marLeft w:val="0"/>
              <w:marRight w:val="0"/>
              <w:marTop w:val="0"/>
              <w:marBottom w:val="0"/>
              <w:divBdr>
                <w:top w:val="none" w:sz="0" w:space="0" w:color="auto"/>
                <w:left w:val="none" w:sz="0" w:space="0" w:color="auto"/>
                <w:bottom w:val="none" w:sz="0" w:space="0" w:color="auto"/>
                <w:right w:val="none" w:sz="0" w:space="0" w:color="auto"/>
              </w:divBdr>
              <w:divsChild>
                <w:div w:id="1652059332">
                  <w:marLeft w:val="0"/>
                  <w:marRight w:val="0"/>
                  <w:marTop w:val="0"/>
                  <w:marBottom w:val="0"/>
                  <w:divBdr>
                    <w:top w:val="none" w:sz="0" w:space="0" w:color="auto"/>
                    <w:left w:val="none" w:sz="0" w:space="0" w:color="auto"/>
                    <w:bottom w:val="none" w:sz="0" w:space="0" w:color="auto"/>
                    <w:right w:val="none" w:sz="0" w:space="0" w:color="auto"/>
                  </w:divBdr>
                  <w:divsChild>
                    <w:div w:id="4048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18571">
      <w:bodyDiv w:val="1"/>
      <w:marLeft w:val="0"/>
      <w:marRight w:val="0"/>
      <w:marTop w:val="0"/>
      <w:marBottom w:val="0"/>
      <w:divBdr>
        <w:top w:val="none" w:sz="0" w:space="0" w:color="auto"/>
        <w:left w:val="none" w:sz="0" w:space="0" w:color="auto"/>
        <w:bottom w:val="none" w:sz="0" w:space="0" w:color="auto"/>
        <w:right w:val="none" w:sz="0" w:space="0" w:color="auto"/>
      </w:divBdr>
    </w:div>
    <w:div w:id="1405449671">
      <w:bodyDiv w:val="1"/>
      <w:marLeft w:val="0"/>
      <w:marRight w:val="0"/>
      <w:marTop w:val="0"/>
      <w:marBottom w:val="0"/>
      <w:divBdr>
        <w:top w:val="none" w:sz="0" w:space="0" w:color="auto"/>
        <w:left w:val="none" w:sz="0" w:space="0" w:color="auto"/>
        <w:bottom w:val="none" w:sz="0" w:space="0" w:color="auto"/>
        <w:right w:val="none" w:sz="0" w:space="0" w:color="auto"/>
      </w:divBdr>
      <w:divsChild>
        <w:div w:id="1278172108">
          <w:marLeft w:val="0"/>
          <w:marRight w:val="0"/>
          <w:marTop w:val="0"/>
          <w:marBottom w:val="0"/>
          <w:divBdr>
            <w:top w:val="none" w:sz="0" w:space="0" w:color="auto"/>
            <w:left w:val="none" w:sz="0" w:space="0" w:color="auto"/>
            <w:bottom w:val="none" w:sz="0" w:space="0" w:color="auto"/>
            <w:right w:val="none" w:sz="0" w:space="0" w:color="auto"/>
          </w:divBdr>
          <w:divsChild>
            <w:div w:id="338434692">
              <w:marLeft w:val="0"/>
              <w:marRight w:val="0"/>
              <w:marTop w:val="0"/>
              <w:marBottom w:val="0"/>
              <w:divBdr>
                <w:top w:val="none" w:sz="0" w:space="0" w:color="auto"/>
                <w:left w:val="none" w:sz="0" w:space="0" w:color="auto"/>
                <w:bottom w:val="none" w:sz="0" w:space="0" w:color="auto"/>
                <w:right w:val="none" w:sz="0" w:space="0" w:color="auto"/>
              </w:divBdr>
              <w:divsChild>
                <w:div w:id="1293633665">
                  <w:marLeft w:val="0"/>
                  <w:marRight w:val="0"/>
                  <w:marTop w:val="0"/>
                  <w:marBottom w:val="0"/>
                  <w:divBdr>
                    <w:top w:val="none" w:sz="0" w:space="0" w:color="auto"/>
                    <w:left w:val="none" w:sz="0" w:space="0" w:color="auto"/>
                    <w:bottom w:val="none" w:sz="0" w:space="0" w:color="auto"/>
                    <w:right w:val="none" w:sz="0" w:space="0" w:color="auto"/>
                  </w:divBdr>
                  <w:divsChild>
                    <w:div w:id="9021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71041">
          <w:marLeft w:val="0"/>
          <w:marRight w:val="0"/>
          <w:marTop w:val="0"/>
          <w:marBottom w:val="0"/>
          <w:divBdr>
            <w:top w:val="none" w:sz="0" w:space="0" w:color="auto"/>
            <w:left w:val="none" w:sz="0" w:space="0" w:color="auto"/>
            <w:bottom w:val="none" w:sz="0" w:space="0" w:color="auto"/>
            <w:right w:val="none" w:sz="0" w:space="0" w:color="auto"/>
          </w:divBdr>
          <w:divsChild>
            <w:div w:id="734013813">
              <w:marLeft w:val="0"/>
              <w:marRight w:val="0"/>
              <w:marTop w:val="0"/>
              <w:marBottom w:val="0"/>
              <w:divBdr>
                <w:top w:val="none" w:sz="0" w:space="0" w:color="auto"/>
                <w:left w:val="none" w:sz="0" w:space="0" w:color="auto"/>
                <w:bottom w:val="none" w:sz="0" w:space="0" w:color="auto"/>
                <w:right w:val="none" w:sz="0" w:space="0" w:color="auto"/>
              </w:divBdr>
              <w:divsChild>
                <w:div w:id="1924223930">
                  <w:marLeft w:val="0"/>
                  <w:marRight w:val="0"/>
                  <w:marTop w:val="0"/>
                  <w:marBottom w:val="0"/>
                  <w:divBdr>
                    <w:top w:val="none" w:sz="0" w:space="0" w:color="auto"/>
                    <w:left w:val="none" w:sz="0" w:space="0" w:color="auto"/>
                    <w:bottom w:val="none" w:sz="0" w:space="0" w:color="auto"/>
                    <w:right w:val="none" w:sz="0" w:space="0" w:color="auto"/>
                  </w:divBdr>
                  <w:divsChild>
                    <w:div w:id="8518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184013">
      <w:bodyDiv w:val="1"/>
      <w:marLeft w:val="0"/>
      <w:marRight w:val="0"/>
      <w:marTop w:val="0"/>
      <w:marBottom w:val="0"/>
      <w:divBdr>
        <w:top w:val="none" w:sz="0" w:space="0" w:color="auto"/>
        <w:left w:val="none" w:sz="0" w:space="0" w:color="auto"/>
        <w:bottom w:val="none" w:sz="0" w:space="0" w:color="auto"/>
        <w:right w:val="none" w:sz="0" w:space="0" w:color="auto"/>
      </w:divBdr>
    </w:div>
    <w:div w:id="1547134470">
      <w:bodyDiv w:val="1"/>
      <w:marLeft w:val="0"/>
      <w:marRight w:val="0"/>
      <w:marTop w:val="0"/>
      <w:marBottom w:val="0"/>
      <w:divBdr>
        <w:top w:val="none" w:sz="0" w:space="0" w:color="auto"/>
        <w:left w:val="none" w:sz="0" w:space="0" w:color="auto"/>
        <w:bottom w:val="none" w:sz="0" w:space="0" w:color="auto"/>
        <w:right w:val="none" w:sz="0" w:space="0" w:color="auto"/>
      </w:divBdr>
      <w:divsChild>
        <w:div w:id="1033535452">
          <w:marLeft w:val="0"/>
          <w:marRight w:val="0"/>
          <w:marTop w:val="0"/>
          <w:marBottom w:val="0"/>
          <w:divBdr>
            <w:top w:val="none" w:sz="0" w:space="0" w:color="auto"/>
            <w:left w:val="none" w:sz="0" w:space="0" w:color="auto"/>
            <w:bottom w:val="none" w:sz="0" w:space="0" w:color="auto"/>
            <w:right w:val="none" w:sz="0" w:space="0" w:color="auto"/>
          </w:divBdr>
          <w:divsChild>
            <w:div w:id="1405840230">
              <w:marLeft w:val="0"/>
              <w:marRight w:val="0"/>
              <w:marTop w:val="0"/>
              <w:marBottom w:val="0"/>
              <w:divBdr>
                <w:top w:val="none" w:sz="0" w:space="0" w:color="auto"/>
                <w:left w:val="none" w:sz="0" w:space="0" w:color="auto"/>
                <w:bottom w:val="none" w:sz="0" w:space="0" w:color="auto"/>
                <w:right w:val="none" w:sz="0" w:space="0" w:color="auto"/>
              </w:divBdr>
              <w:divsChild>
                <w:div w:id="1811358945">
                  <w:marLeft w:val="0"/>
                  <w:marRight w:val="0"/>
                  <w:marTop w:val="0"/>
                  <w:marBottom w:val="0"/>
                  <w:divBdr>
                    <w:top w:val="none" w:sz="0" w:space="0" w:color="auto"/>
                    <w:left w:val="none" w:sz="0" w:space="0" w:color="auto"/>
                    <w:bottom w:val="none" w:sz="0" w:space="0" w:color="auto"/>
                    <w:right w:val="none" w:sz="0" w:space="0" w:color="auto"/>
                  </w:divBdr>
                  <w:divsChild>
                    <w:div w:id="785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005601">
      <w:bodyDiv w:val="1"/>
      <w:marLeft w:val="0"/>
      <w:marRight w:val="0"/>
      <w:marTop w:val="0"/>
      <w:marBottom w:val="0"/>
      <w:divBdr>
        <w:top w:val="none" w:sz="0" w:space="0" w:color="auto"/>
        <w:left w:val="none" w:sz="0" w:space="0" w:color="auto"/>
        <w:bottom w:val="none" w:sz="0" w:space="0" w:color="auto"/>
        <w:right w:val="none" w:sz="0" w:space="0" w:color="auto"/>
      </w:divBdr>
      <w:divsChild>
        <w:div w:id="1841695512">
          <w:marLeft w:val="0"/>
          <w:marRight w:val="0"/>
          <w:marTop w:val="0"/>
          <w:marBottom w:val="0"/>
          <w:divBdr>
            <w:top w:val="none" w:sz="0" w:space="0" w:color="auto"/>
            <w:left w:val="none" w:sz="0" w:space="0" w:color="auto"/>
            <w:bottom w:val="none" w:sz="0" w:space="0" w:color="auto"/>
            <w:right w:val="none" w:sz="0" w:space="0" w:color="auto"/>
          </w:divBdr>
          <w:divsChild>
            <w:div w:id="581791067">
              <w:marLeft w:val="0"/>
              <w:marRight w:val="0"/>
              <w:marTop w:val="0"/>
              <w:marBottom w:val="0"/>
              <w:divBdr>
                <w:top w:val="none" w:sz="0" w:space="0" w:color="auto"/>
                <w:left w:val="none" w:sz="0" w:space="0" w:color="auto"/>
                <w:bottom w:val="none" w:sz="0" w:space="0" w:color="auto"/>
                <w:right w:val="none" w:sz="0" w:space="0" w:color="auto"/>
              </w:divBdr>
              <w:divsChild>
                <w:div w:id="556472476">
                  <w:marLeft w:val="0"/>
                  <w:marRight w:val="0"/>
                  <w:marTop w:val="0"/>
                  <w:marBottom w:val="0"/>
                  <w:divBdr>
                    <w:top w:val="none" w:sz="0" w:space="0" w:color="auto"/>
                    <w:left w:val="none" w:sz="0" w:space="0" w:color="auto"/>
                    <w:bottom w:val="none" w:sz="0" w:space="0" w:color="auto"/>
                    <w:right w:val="none" w:sz="0" w:space="0" w:color="auto"/>
                  </w:divBdr>
                  <w:divsChild>
                    <w:div w:id="127502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265932">
          <w:marLeft w:val="0"/>
          <w:marRight w:val="0"/>
          <w:marTop w:val="0"/>
          <w:marBottom w:val="0"/>
          <w:divBdr>
            <w:top w:val="none" w:sz="0" w:space="0" w:color="auto"/>
            <w:left w:val="none" w:sz="0" w:space="0" w:color="auto"/>
            <w:bottom w:val="none" w:sz="0" w:space="0" w:color="auto"/>
            <w:right w:val="none" w:sz="0" w:space="0" w:color="auto"/>
          </w:divBdr>
          <w:divsChild>
            <w:div w:id="1776554318">
              <w:marLeft w:val="0"/>
              <w:marRight w:val="0"/>
              <w:marTop w:val="0"/>
              <w:marBottom w:val="0"/>
              <w:divBdr>
                <w:top w:val="none" w:sz="0" w:space="0" w:color="auto"/>
                <w:left w:val="none" w:sz="0" w:space="0" w:color="auto"/>
                <w:bottom w:val="none" w:sz="0" w:space="0" w:color="auto"/>
                <w:right w:val="none" w:sz="0" w:space="0" w:color="auto"/>
              </w:divBdr>
              <w:divsChild>
                <w:div w:id="1309630066">
                  <w:marLeft w:val="0"/>
                  <w:marRight w:val="0"/>
                  <w:marTop w:val="0"/>
                  <w:marBottom w:val="0"/>
                  <w:divBdr>
                    <w:top w:val="none" w:sz="0" w:space="0" w:color="auto"/>
                    <w:left w:val="none" w:sz="0" w:space="0" w:color="auto"/>
                    <w:bottom w:val="none" w:sz="0" w:space="0" w:color="auto"/>
                    <w:right w:val="none" w:sz="0" w:space="0" w:color="auto"/>
                  </w:divBdr>
                  <w:divsChild>
                    <w:div w:id="4969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40193">
      <w:bodyDiv w:val="1"/>
      <w:marLeft w:val="0"/>
      <w:marRight w:val="0"/>
      <w:marTop w:val="0"/>
      <w:marBottom w:val="0"/>
      <w:divBdr>
        <w:top w:val="none" w:sz="0" w:space="0" w:color="auto"/>
        <w:left w:val="none" w:sz="0" w:space="0" w:color="auto"/>
        <w:bottom w:val="none" w:sz="0" w:space="0" w:color="auto"/>
        <w:right w:val="none" w:sz="0" w:space="0" w:color="auto"/>
      </w:divBdr>
      <w:divsChild>
        <w:div w:id="1674915732">
          <w:marLeft w:val="0"/>
          <w:marRight w:val="0"/>
          <w:marTop w:val="0"/>
          <w:marBottom w:val="0"/>
          <w:divBdr>
            <w:top w:val="none" w:sz="0" w:space="0" w:color="auto"/>
            <w:left w:val="none" w:sz="0" w:space="0" w:color="auto"/>
            <w:bottom w:val="none" w:sz="0" w:space="0" w:color="auto"/>
            <w:right w:val="none" w:sz="0" w:space="0" w:color="auto"/>
          </w:divBdr>
          <w:divsChild>
            <w:div w:id="562102962">
              <w:marLeft w:val="0"/>
              <w:marRight w:val="0"/>
              <w:marTop w:val="0"/>
              <w:marBottom w:val="0"/>
              <w:divBdr>
                <w:top w:val="none" w:sz="0" w:space="0" w:color="auto"/>
                <w:left w:val="none" w:sz="0" w:space="0" w:color="auto"/>
                <w:bottom w:val="none" w:sz="0" w:space="0" w:color="auto"/>
                <w:right w:val="none" w:sz="0" w:space="0" w:color="auto"/>
              </w:divBdr>
              <w:divsChild>
                <w:div w:id="1451046006">
                  <w:marLeft w:val="0"/>
                  <w:marRight w:val="0"/>
                  <w:marTop w:val="0"/>
                  <w:marBottom w:val="0"/>
                  <w:divBdr>
                    <w:top w:val="none" w:sz="0" w:space="0" w:color="auto"/>
                    <w:left w:val="none" w:sz="0" w:space="0" w:color="auto"/>
                    <w:bottom w:val="none" w:sz="0" w:space="0" w:color="auto"/>
                    <w:right w:val="none" w:sz="0" w:space="0" w:color="auto"/>
                  </w:divBdr>
                  <w:divsChild>
                    <w:div w:id="6075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07548">
          <w:marLeft w:val="0"/>
          <w:marRight w:val="0"/>
          <w:marTop w:val="0"/>
          <w:marBottom w:val="0"/>
          <w:divBdr>
            <w:top w:val="none" w:sz="0" w:space="0" w:color="auto"/>
            <w:left w:val="none" w:sz="0" w:space="0" w:color="auto"/>
            <w:bottom w:val="none" w:sz="0" w:space="0" w:color="auto"/>
            <w:right w:val="none" w:sz="0" w:space="0" w:color="auto"/>
          </w:divBdr>
          <w:divsChild>
            <w:div w:id="674381967">
              <w:marLeft w:val="0"/>
              <w:marRight w:val="0"/>
              <w:marTop w:val="0"/>
              <w:marBottom w:val="0"/>
              <w:divBdr>
                <w:top w:val="none" w:sz="0" w:space="0" w:color="auto"/>
                <w:left w:val="none" w:sz="0" w:space="0" w:color="auto"/>
                <w:bottom w:val="none" w:sz="0" w:space="0" w:color="auto"/>
                <w:right w:val="none" w:sz="0" w:space="0" w:color="auto"/>
              </w:divBdr>
              <w:divsChild>
                <w:div w:id="731124038">
                  <w:marLeft w:val="0"/>
                  <w:marRight w:val="0"/>
                  <w:marTop w:val="0"/>
                  <w:marBottom w:val="0"/>
                  <w:divBdr>
                    <w:top w:val="none" w:sz="0" w:space="0" w:color="auto"/>
                    <w:left w:val="none" w:sz="0" w:space="0" w:color="auto"/>
                    <w:bottom w:val="none" w:sz="0" w:space="0" w:color="auto"/>
                    <w:right w:val="none" w:sz="0" w:space="0" w:color="auto"/>
                  </w:divBdr>
                  <w:divsChild>
                    <w:div w:id="17629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02022">
      <w:bodyDiv w:val="1"/>
      <w:marLeft w:val="0"/>
      <w:marRight w:val="0"/>
      <w:marTop w:val="0"/>
      <w:marBottom w:val="0"/>
      <w:divBdr>
        <w:top w:val="none" w:sz="0" w:space="0" w:color="auto"/>
        <w:left w:val="none" w:sz="0" w:space="0" w:color="auto"/>
        <w:bottom w:val="none" w:sz="0" w:space="0" w:color="auto"/>
        <w:right w:val="none" w:sz="0" w:space="0" w:color="auto"/>
      </w:divBdr>
      <w:divsChild>
        <w:div w:id="1288051055">
          <w:marLeft w:val="0"/>
          <w:marRight w:val="0"/>
          <w:marTop w:val="0"/>
          <w:marBottom w:val="0"/>
          <w:divBdr>
            <w:top w:val="none" w:sz="0" w:space="0" w:color="auto"/>
            <w:left w:val="none" w:sz="0" w:space="0" w:color="auto"/>
            <w:bottom w:val="none" w:sz="0" w:space="0" w:color="auto"/>
            <w:right w:val="none" w:sz="0" w:space="0" w:color="auto"/>
          </w:divBdr>
          <w:divsChild>
            <w:div w:id="413671345">
              <w:marLeft w:val="0"/>
              <w:marRight w:val="0"/>
              <w:marTop w:val="0"/>
              <w:marBottom w:val="0"/>
              <w:divBdr>
                <w:top w:val="none" w:sz="0" w:space="0" w:color="auto"/>
                <w:left w:val="none" w:sz="0" w:space="0" w:color="auto"/>
                <w:bottom w:val="none" w:sz="0" w:space="0" w:color="auto"/>
                <w:right w:val="none" w:sz="0" w:space="0" w:color="auto"/>
              </w:divBdr>
              <w:divsChild>
                <w:div w:id="1009678365">
                  <w:marLeft w:val="0"/>
                  <w:marRight w:val="0"/>
                  <w:marTop w:val="0"/>
                  <w:marBottom w:val="0"/>
                  <w:divBdr>
                    <w:top w:val="none" w:sz="0" w:space="0" w:color="auto"/>
                    <w:left w:val="none" w:sz="0" w:space="0" w:color="auto"/>
                    <w:bottom w:val="none" w:sz="0" w:space="0" w:color="auto"/>
                    <w:right w:val="none" w:sz="0" w:space="0" w:color="auto"/>
                  </w:divBdr>
                  <w:divsChild>
                    <w:div w:id="1438257225">
                      <w:marLeft w:val="0"/>
                      <w:marRight w:val="0"/>
                      <w:marTop w:val="0"/>
                      <w:marBottom w:val="0"/>
                      <w:divBdr>
                        <w:top w:val="none" w:sz="0" w:space="0" w:color="auto"/>
                        <w:left w:val="none" w:sz="0" w:space="0" w:color="auto"/>
                        <w:bottom w:val="none" w:sz="0" w:space="0" w:color="auto"/>
                        <w:right w:val="none" w:sz="0" w:space="0" w:color="auto"/>
                      </w:divBdr>
                      <w:divsChild>
                        <w:div w:id="1641767022">
                          <w:marLeft w:val="0"/>
                          <w:marRight w:val="0"/>
                          <w:marTop w:val="0"/>
                          <w:marBottom w:val="0"/>
                          <w:divBdr>
                            <w:top w:val="none" w:sz="0" w:space="0" w:color="auto"/>
                            <w:left w:val="none" w:sz="0" w:space="0" w:color="auto"/>
                            <w:bottom w:val="none" w:sz="0" w:space="0" w:color="auto"/>
                            <w:right w:val="none" w:sz="0" w:space="0" w:color="auto"/>
                          </w:divBdr>
                          <w:divsChild>
                            <w:div w:id="1245336701">
                              <w:marLeft w:val="0"/>
                              <w:marRight w:val="0"/>
                              <w:marTop w:val="0"/>
                              <w:marBottom w:val="0"/>
                              <w:divBdr>
                                <w:top w:val="none" w:sz="0" w:space="0" w:color="auto"/>
                                <w:left w:val="none" w:sz="0" w:space="0" w:color="auto"/>
                                <w:bottom w:val="none" w:sz="0" w:space="0" w:color="auto"/>
                                <w:right w:val="none" w:sz="0" w:space="0" w:color="auto"/>
                              </w:divBdr>
                              <w:divsChild>
                                <w:div w:id="454301229">
                                  <w:marLeft w:val="0"/>
                                  <w:marRight w:val="0"/>
                                  <w:marTop w:val="0"/>
                                  <w:marBottom w:val="0"/>
                                  <w:divBdr>
                                    <w:top w:val="none" w:sz="0" w:space="0" w:color="auto"/>
                                    <w:left w:val="none" w:sz="0" w:space="0" w:color="auto"/>
                                    <w:bottom w:val="none" w:sz="0" w:space="0" w:color="auto"/>
                                    <w:right w:val="none" w:sz="0" w:space="0" w:color="auto"/>
                                  </w:divBdr>
                                  <w:divsChild>
                                    <w:div w:id="19365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74866">
                          <w:marLeft w:val="0"/>
                          <w:marRight w:val="0"/>
                          <w:marTop w:val="0"/>
                          <w:marBottom w:val="0"/>
                          <w:divBdr>
                            <w:top w:val="none" w:sz="0" w:space="0" w:color="auto"/>
                            <w:left w:val="none" w:sz="0" w:space="0" w:color="auto"/>
                            <w:bottom w:val="none" w:sz="0" w:space="0" w:color="auto"/>
                            <w:right w:val="none" w:sz="0" w:space="0" w:color="auto"/>
                          </w:divBdr>
                          <w:divsChild>
                            <w:div w:id="915675794">
                              <w:marLeft w:val="0"/>
                              <w:marRight w:val="0"/>
                              <w:marTop w:val="0"/>
                              <w:marBottom w:val="0"/>
                              <w:divBdr>
                                <w:top w:val="none" w:sz="0" w:space="0" w:color="auto"/>
                                <w:left w:val="none" w:sz="0" w:space="0" w:color="auto"/>
                                <w:bottom w:val="none" w:sz="0" w:space="0" w:color="auto"/>
                                <w:right w:val="none" w:sz="0" w:space="0" w:color="auto"/>
                              </w:divBdr>
                              <w:divsChild>
                                <w:div w:id="1587835970">
                                  <w:marLeft w:val="0"/>
                                  <w:marRight w:val="0"/>
                                  <w:marTop w:val="0"/>
                                  <w:marBottom w:val="0"/>
                                  <w:divBdr>
                                    <w:top w:val="none" w:sz="0" w:space="0" w:color="auto"/>
                                    <w:left w:val="none" w:sz="0" w:space="0" w:color="auto"/>
                                    <w:bottom w:val="none" w:sz="0" w:space="0" w:color="auto"/>
                                    <w:right w:val="none" w:sz="0" w:space="0" w:color="auto"/>
                                  </w:divBdr>
                                  <w:divsChild>
                                    <w:div w:id="189198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954283">
          <w:marLeft w:val="0"/>
          <w:marRight w:val="0"/>
          <w:marTop w:val="0"/>
          <w:marBottom w:val="0"/>
          <w:divBdr>
            <w:top w:val="none" w:sz="0" w:space="0" w:color="auto"/>
            <w:left w:val="none" w:sz="0" w:space="0" w:color="auto"/>
            <w:bottom w:val="none" w:sz="0" w:space="0" w:color="auto"/>
            <w:right w:val="none" w:sz="0" w:space="0" w:color="auto"/>
          </w:divBdr>
          <w:divsChild>
            <w:div w:id="771900886">
              <w:marLeft w:val="0"/>
              <w:marRight w:val="0"/>
              <w:marTop w:val="0"/>
              <w:marBottom w:val="0"/>
              <w:divBdr>
                <w:top w:val="none" w:sz="0" w:space="0" w:color="auto"/>
                <w:left w:val="none" w:sz="0" w:space="0" w:color="auto"/>
                <w:bottom w:val="none" w:sz="0" w:space="0" w:color="auto"/>
                <w:right w:val="none" w:sz="0" w:space="0" w:color="auto"/>
              </w:divBdr>
              <w:divsChild>
                <w:div w:id="529925241">
                  <w:marLeft w:val="0"/>
                  <w:marRight w:val="0"/>
                  <w:marTop w:val="0"/>
                  <w:marBottom w:val="0"/>
                  <w:divBdr>
                    <w:top w:val="none" w:sz="0" w:space="0" w:color="auto"/>
                    <w:left w:val="none" w:sz="0" w:space="0" w:color="auto"/>
                    <w:bottom w:val="none" w:sz="0" w:space="0" w:color="auto"/>
                    <w:right w:val="none" w:sz="0" w:space="0" w:color="auto"/>
                  </w:divBdr>
                  <w:divsChild>
                    <w:div w:id="1080492873">
                      <w:marLeft w:val="0"/>
                      <w:marRight w:val="0"/>
                      <w:marTop w:val="0"/>
                      <w:marBottom w:val="0"/>
                      <w:divBdr>
                        <w:top w:val="none" w:sz="0" w:space="0" w:color="auto"/>
                        <w:left w:val="none" w:sz="0" w:space="0" w:color="auto"/>
                        <w:bottom w:val="none" w:sz="0" w:space="0" w:color="auto"/>
                        <w:right w:val="none" w:sz="0" w:space="0" w:color="auto"/>
                      </w:divBdr>
                      <w:divsChild>
                        <w:div w:id="1231766411">
                          <w:marLeft w:val="0"/>
                          <w:marRight w:val="0"/>
                          <w:marTop w:val="0"/>
                          <w:marBottom w:val="0"/>
                          <w:divBdr>
                            <w:top w:val="none" w:sz="0" w:space="0" w:color="auto"/>
                            <w:left w:val="none" w:sz="0" w:space="0" w:color="auto"/>
                            <w:bottom w:val="none" w:sz="0" w:space="0" w:color="auto"/>
                            <w:right w:val="none" w:sz="0" w:space="0" w:color="auto"/>
                          </w:divBdr>
                          <w:divsChild>
                            <w:div w:id="957371566">
                              <w:marLeft w:val="0"/>
                              <w:marRight w:val="0"/>
                              <w:marTop w:val="0"/>
                              <w:marBottom w:val="0"/>
                              <w:divBdr>
                                <w:top w:val="none" w:sz="0" w:space="0" w:color="auto"/>
                                <w:left w:val="none" w:sz="0" w:space="0" w:color="auto"/>
                                <w:bottom w:val="none" w:sz="0" w:space="0" w:color="auto"/>
                                <w:right w:val="none" w:sz="0" w:space="0" w:color="auto"/>
                              </w:divBdr>
                              <w:divsChild>
                                <w:div w:id="1923837177">
                                  <w:marLeft w:val="0"/>
                                  <w:marRight w:val="0"/>
                                  <w:marTop w:val="0"/>
                                  <w:marBottom w:val="0"/>
                                  <w:divBdr>
                                    <w:top w:val="none" w:sz="0" w:space="0" w:color="auto"/>
                                    <w:left w:val="none" w:sz="0" w:space="0" w:color="auto"/>
                                    <w:bottom w:val="none" w:sz="0" w:space="0" w:color="auto"/>
                                    <w:right w:val="none" w:sz="0" w:space="0" w:color="auto"/>
                                  </w:divBdr>
                                  <w:divsChild>
                                    <w:div w:id="859901265">
                                      <w:marLeft w:val="0"/>
                                      <w:marRight w:val="0"/>
                                      <w:marTop w:val="0"/>
                                      <w:marBottom w:val="0"/>
                                      <w:divBdr>
                                        <w:top w:val="none" w:sz="0" w:space="0" w:color="auto"/>
                                        <w:left w:val="none" w:sz="0" w:space="0" w:color="auto"/>
                                        <w:bottom w:val="none" w:sz="0" w:space="0" w:color="auto"/>
                                        <w:right w:val="none" w:sz="0" w:space="0" w:color="auto"/>
                                      </w:divBdr>
                                      <w:divsChild>
                                        <w:div w:id="9931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674544">
          <w:marLeft w:val="0"/>
          <w:marRight w:val="0"/>
          <w:marTop w:val="0"/>
          <w:marBottom w:val="0"/>
          <w:divBdr>
            <w:top w:val="none" w:sz="0" w:space="0" w:color="auto"/>
            <w:left w:val="none" w:sz="0" w:space="0" w:color="auto"/>
            <w:bottom w:val="none" w:sz="0" w:space="0" w:color="auto"/>
            <w:right w:val="none" w:sz="0" w:space="0" w:color="auto"/>
          </w:divBdr>
          <w:divsChild>
            <w:div w:id="53359608">
              <w:marLeft w:val="0"/>
              <w:marRight w:val="0"/>
              <w:marTop w:val="0"/>
              <w:marBottom w:val="0"/>
              <w:divBdr>
                <w:top w:val="none" w:sz="0" w:space="0" w:color="auto"/>
                <w:left w:val="none" w:sz="0" w:space="0" w:color="auto"/>
                <w:bottom w:val="none" w:sz="0" w:space="0" w:color="auto"/>
                <w:right w:val="none" w:sz="0" w:space="0" w:color="auto"/>
              </w:divBdr>
              <w:divsChild>
                <w:div w:id="1506703559">
                  <w:marLeft w:val="0"/>
                  <w:marRight w:val="0"/>
                  <w:marTop w:val="0"/>
                  <w:marBottom w:val="0"/>
                  <w:divBdr>
                    <w:top w:val="none" w:sz="0" w:space="0" w:color="auto"/>
                    <w:left w:val="none" w:sz="0" w:space="0" w:color="auto"/>
                    <w:bottom w:val="none" w:sz="0" w:space="0" w:color="auto"/>
                    <w:right w:val="none" w:sz="0" w:space="0" w:color="auto"/>
                  </w:divBdr>
                  <w:divsChild>
                    <w:div w:id="1822311498">
                      <w:marLeft w:val="0"/>
                      <w:marRight w:val="0"/>
                      <w:marTop w:val="0"/>
                      <w:marBottom w:val="0"/>
                      <w:divBdr>
                        <w:top w:val="none" w:sz="0" w:space="0" w:color="auto"/>
                        <w:left w:val="none" w:sz="0" w:space="0" w:color="auto"/>
                        <w:bottom w:val="none" w:sz="0" w:space="0" w:color="auto"/>
                        <w:right w:val="none" w:sz="0" w:space="0" w:color="auto"/>
                      </w:divBdr>
                      <w:divsChild>
                        <w:div w:id="1930843188">
                          <w:marLeft w:val="0"/>
                          <w:marRight w:val="0"/>
                          <w:marTop w:val="0"/>
                          <w:marBottom w:val="0"/>
                          <w:divBdr>
                            <w:top w:val="none" w:sz="0" w:space="0" w:color="auto"/>
                            <w:left w:val="none" w:sz="0" w:space="0" w:color="auto"/>
                            <w:bottom w:val="none" w:sz="0" w:space="0" w:color="auto"/>
                            <w:right w:val="none" w:sz="0" w:space="0" w:color="auto"/>
                          </w:divBdr>
                          <w:divsChild>
                            <w:div w:id="1708523803">
                              <w:marLeft w:val="0"/>
                              <w:marRight w:val="0"/>
                              <w:marTop w:val="0"/>
                              <w:marBottom w:val="0"/>
                              <w:divBdr>
                                <w:top w:val="none" w:sz="0" w:space="0" w:color="auto"/>
                                <w:left w:val="none" w:sz="0" w:space="0" w:color="auto"/>
                                <w:bottom w:val="none" w:sz="0" w:space="0" w:color="auto"/>
                                <w:right w:val="none" w:sz="0" w:space="0" w:color="auto"/>
                              </w:divBdr>
                              <w:divsChild>
                                <w:div w:id="1335690983">
                                  <w:marLeft w:val="0"/>
                                  <w:marRight w:val="0"/>
                                  <w:marTop w:val="0"/>
                                  <w:marBottom w:val="0"/>
                                  <w:divBdr>
                                    <w:top w:val="none" w:sz="0" w:space="0" w:color="auto"/>
                                    <w:left w:val="none" w:sz="0" w:space="0" w:color="auto"/>
                                    <w:bottom w:val="none" w:sz="0" w:space="0" w:color="auto"/>
                                    <w:right w:val="none" w:sz="0" w:space="0" w:color="auto"/>
                                  </w:divBdr>
                                  <w:divsChild>
                                    <w:div w:id="5747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876318">
      <w:bodyDiv w:val="1"/>
      <w:marLeft w:val="0"/>
      <w:marRight w:val="0"/>
      <w:marTop w:val="0"/>
      <w:marBottom w:val="0"/>
      <w:divBdr>
        <w:top w:val="none" w:sz="0" w:space="0" w:color="auto"/>
        <w:left w:val="none" w:sz="0" w:space="0" w:color="auto"/>
        <w:bottom w:val="none" w:sz="0" w:space="0" w:color="auto"/>
        <w:right w:val="none" w:sz="0" w:space="0" w:color="auto"/>
      </w:divBdr>
    </w:div>
    <w:div w:id="1882665645">
      <w:bodyDiv w:val="1"/>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sChild>
            <w:div w:id="1511797106">
              <w:marLeft w:val="0"/>
              <w:marRight w:val="0"/>
              <w:marTop w:val="0"/>
              <w:marBottom w:val="0"/>
              <w:divBdr>
                <w:top w:val="none" w:sz="0" w:space="0" w:color="auto"/>
                <w:left w:val="none" w:sz="0" w:space="0" w:color="auto"/>
                <w:bottom w:val="none" w:sz="0" w:space="0" w:color="auto"/>
                <w:right w:val="none" w:sz="0" w:space="0" w:color="auto"/>
              </w:divBdr>
              <w:divsChild>
                <w:div w:id="791094464">
                  <w:marLeft w:val="0"/>
                  <w:marRight w:val="0"/>
                  <w:marTop w:val="0"/>
                  <w:marBottom w:val="0"/>
                  <w:divBdr>
                    <w:top w:val="none" w:sz="0" w:space="0" w:color="auto"/>
                    <w:left w:val="none" w:sz="0" w:space="0" w:color="auto"/>
                    <w:bottom w:val="none" w:sz="0" w:space="0" w:color="auto"/>
                    <w:right w:val="none" w:sz="0" w:space="0" w:color="auto"/>
                  </w:divBdr>
                  <w:divsChild>
                    <w:div w:id="179590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338368">
          <w:marLeft w:val="0"/>
          <w:marRight w:val="0"/>
          <w:marTop w:val="0"/>
          <w:marBottom w:val="0"/>
          <w:divBdr>
            <w:top w:val="none" w:sz="0" w:space="0" w:color="auto"/>
            <w:left w:val="none" w:sz="0" w:space="0" w:color="auto"/>
            <w:bottom w:val="none" w:sz="0" w:space="0" w:color="auto"/>
            <w:right w:val="none" w:sz="0" w:space="0" w:color="auto"/>
          </w:divBdr>
          <w:divsChild>
            <w:div w:id="2043742192">
              <w:marLeft w:val="0"/>
              <w:marRight w:val="0"/>
              <w:marTop w:val="0"/>
              <w:marBottom w:val="0"/>
              <w:divBdr>
                <w:top w:val="none" w:sz="0" w:space="0" w:color="auto"/>
                <w:left w:val="none" w:sz="0" w:space="0" w:color="auto"/>
                <w:bottom w:val="none" w:sz="0" w:space="0" w:color="auto"/>
                <w:right w:val="none" w:sz="0" w:space="0" w:color="auto"/>
              </w:divBdr>
              <w:divsChild>
                <w:div w:id="994989318">
                  <w:marLeft w:val="0"/>
                  <w:marRight w:val="0"/>
                  <w:marTop w:val="0"/>
                  <w:marBottom w:val="0"/>
                  <w:divBdr>
                    <w:top w:val="none" w:sz="0" w:space="0" w:color="auto"/>
                    <w:left w:val="none" w:sz="0" w:space="0" w:color="auto"/>
                    <w:bottom w:val="none" w:sz="0" w:space="0" w:color="auto"/>
                    <w:right w:val="none" w:sz="0" w:space="0" w:color="auto"/>
                  </w:divBdr>
                  <w:divsChild>
                    <w:div w:id="6194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55E95-7D5D-46AF-8CB7-10B84ECA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3801</Words>
  <Characters>21670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Taic</dc:creator>
  <cp:keywords/>
  <dc:description/>
  <cp:lastModifiedBy>Judith Taic</cp:lastModifiedBy>
  <cp:revision>5</cp:revision>
  <cp:lastPrinted>2025-03-08T10:34:00Z</cp:lastPrinted>
  <dcterms:created xsi:type="dcterms:W3CDTF">2025-03-08T12:10:00Z</dcterms:created>
  <dcterms:modified xsi:type="dcterms:W3CDTF">2025-04-11T09:14:00Z</dcterms:modified>
</cp:coreProperties>
</file>